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38" w:rsidRPr="00897E94" w:rsidRDefault="00897E94">
      <w:pPr>
        <w:jc w:val="center"/>
      </w:pPr>
      <w:bookmarkStart w:id="0" w:name="_GoBack"/>
      <w:bookmarkEnd w:id="0"/>
      <w:r w:rsidRPr="00897E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36pt">
            <v:imagedata r:id="rId5" o:title="thc_header_k"/>
          </v:shape>
        </w:pict>
      </w:r>
    </w:p>
    <w:p w:rsidR="00DA0B38" w:rsidRDefault="00DA0B38">
      <w:pPr>
        <w:rPr>
          <w:sz w:val="22"/>
        </w:rPr>
        <w:sectPr w:rsidR="00DA0B38">
          <w:type w:val="continuous"/>
          <w:pgSz w:w="12240" w:h="15840"/>
          <w:pgMar w:top="720" w:right="720" w:bottom="720" w:left="720" w:header="720" w:footer="720" w:gutter="0"/>
          <w:cols w:space="720" w:equalWidth="0">
            <w:col w:w="10800" w:space="720"/>
          </w:cols>
          <w:docGrid w:linePitch="360"/>
        </w:sectPr>
      </w:pPr>
    </w:p>
    <w:p w:rsidR="00272A4F" w:rsidRPr="00CB5499" w:rsidRDefault="00272A4F" w:rsidP="00272A4F">
      <w:pPr>
        <w:spacing w:line="360" w:lineRule="auto"/>
        <w:jc w:val="center"/>
        <w:rPr>
          <w:rFonts w:ascii="Garamond" w:hAnsi="Garamond"/>
          <w:b/>
          <w:caps/>
          <w:spacing w:val="20"/>
          <w:sz w:val="36"/>
          <w:szCs w:val="36"/>
        </w:rPr>
      </w:pPr>
      <w:r>
        <w:rPr>
          <w:rFonts w:ascii="Garamond" w:hAnsi="Garamond"/>
          <w:b/>
          <w:caps/>
          <w:spacing w:val="20"/>
          <w:sz w:val="36"/>
          <w:szCs w:val="36"/>
        </w:rPr>
        <w:t>USING PRIMARY AND SECONDARY SOURCES</w:t>
      </w:r>
    </w:p>
    <w:p w:rsidR="00272A4F" w:rsidRPr="0050210D" w:rsidRDefault="00272A4F" w:rsidP="00272A4F">
      <w:pPr>
        <w:pStyle w:val="Heading3"/>
        <w:spacing w:before="0"/>
        <w:rPr>
          <w:rFonts w:ascii="Garamond" w:hAnsi="Garamond"/>
        </w:rPr>
      </w:pPr>
      <w:r>
        <w:rPr>
          <w:rStyle w:val="BodyTextChar"/>
          <w:rFonts w:ascii="Garamond" w:hAnsi="Garamond"/>
          <w:b w:val="0"/>
          <w:sz w:val="24"/>
        </w:rPr>
        <w:t>When conducting historical research, one will encounter and employ two types of sources – primary and secondary. Each has specific roles to play in creating a strong historical narrative.</w:t>
      </w:r>
      <w:r w:rsidRPr="00206DC3">
        <w:rPr>
          <w:rFonts w:ascii="Garamond" w:hAnsi="Garamond"/>
          <w:b w:val="0"/>
        </w:rPr>
        <w:br/>
      </w:r>
      <w:r>
        <w:rPr>
          <w:rFonts w:ascii="Garamond" w:hAnsi="Garamond"/>
        </w:rPr>
        <w:br/>
      </w:r>
      <w:r>
        <w:rPr>
          <w:rFonts w:ascii="Garamond" w:hAnsi="Garamond"/>
          <w:bCs w:val="0"/>
          <w:w w:val="95"/>
          <w:sz w:val="28"/>
          <w:szCs w:val="28"/>
        </w:rPr>
        <w:t>DISTINGUISHING PRIMARY AND SECONDARY SOURCES</w:t>
      </w:r>
    </w:p>
    <w:p w:rsidR="00272A4F" w:rsidRDefault="00272A4F" w:rsidP="00272A4F">
      <w:pPr>
        <w:autoSpaceDE w:val="0"/>
        <w:autoSpaceDN w:val="0"/>
        <w:adjustRightInd w:val="0"/>
        <w:rPr>
          <w:rFonts w:ascii="Garamond" w:hAnsi="Garamond"/>
          <w:bCs/>
        </w:rPr>
      </w:pPr>
      <w:r>
        <w:rPr>
          <w:rFonts w:ascii="Garamond" w:hAnsi="Garamond"/>
          <w:bCs/>
        </w:rPr>
        <w:t>The terms “primary source” and “secondary source” are best understood by their meanings in relation to one another.  In simplest terms, primary sources are pieces of information related by an individual during the time being researched.  Examples include deeds, photographs, pieces of art, oral histories and journal entries.  Secondary sources examine history during a later time.  Examples include textbooks, documentary films and most narrative histories.  The table below lists other differences:</w:t>
      </w:r>
    </w:p>
    <w:p w:rsidR="00272A4F" w:rsidRDefault="00272A4F" w:rsidP="00272A4F">
      <w:pPr>
        <w:autoSpaceDE w:val="0"/>
        <w:autoSpaceDN w:val="0"/>
        <w:adjustRightInd w:val="0"/>
        <w:rPr>
          <w:rFonts w:ascii="Garamond" w:hAnsi="Garamond"/>
          <w:bCs/>
        </w:rPr>
      </w:pPr>
    </w:p>
    <w:p w:rsidR="00272A4F" w:rsidRDefault="00272A4F" w:rsidP="00272A4F">
      <w:pPr>
        <w:autoSpaceDE w:val="0"/>
        <w:autoSpaceDN w:val="0"/>
        <w:adjustRightInd w:val="0"/>
        <w:rPr>
          <w:rFonts w:ascii="Garamond" w:hAnsi="Garamond"/>
          <w:bCs/>
        </w:rPr>
      </w:pPr>
      <w:r>
        <w:rPr>
          <w:rFonts w:ascii="Garamond" w:hAnsi="Garamond"/>
          <w:bCs/>
          <w:u w:val="single"/>
        </w:rPr>
        <w:t>Primary Sources</w:t>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sidRPr="00B260F1">
        <w:rPr>
          <w:rFonts w:ascii="Garamond" w:hAnsi="Garamond"/>
          <w:bCs/>
          <w:u w:val="single"/>
        </w:rPr>
        <w:t>Secondary Sources</w:t>
      </w:r>
      <w:r>
        <w:rPr>
          <w:rFonts w:ascii="Garamond" w:hAnsi="Garamond"/>
          <w:bCs/>
        </w:rPr>
        <w:t xml:space="preserve"> </w:t>
      </w:r>
    </w:p>
    <w:p w:rsidR="00272A4F" w:rsidRDefault="00272A4F" w:rsidP="00272A4F">
      <w:pPr>
        <w:autoSpaceDE w:val="0"/>
        <w:autoSpaceDN w:val="0"/>
        <w:adjustRightInd w:val="0"/>
        <w:rPr>
          <w:rFonts w:ascii="Garamond" w:hAnsi="Garamond"/>
          <w:bCs/>
        </w:rPr>
      </w:pPr>
      <w:r>
        <w:rPr>
          <w:rFonts w:ascii="Garamond" w:hAnsi="Garamond"/>
          <w:bCs/>
        </w:rPr>
        <w:t>1. Direct account from a participant or eye-witness</w:t>
      </w:r>
      <w:r>
        <w:rPr>
          <w:rFonts w:ascii="Garamond" w:hAnsi="Garamond"/>
          <w:bCs/>
        </w:rPr>
        <w:tab/>
      </w:r>
      <w:r>
        <w:rPr>
          <w:rFonts w:ascii="Garamond" w:hAnsi="Garamond"/>
          <w:bCs/>
        </w:rPr>
        <w:tab/>
        <w:t>1. Indirect account by a non-participant</w:t>
      </w:r>
    </w:p>
    <w:p w:rsidR="00272A4F" w:rsidRDefault="00272A4F" w:rsidP="00272A4F">
      <w:pPr>
        <w:autoSpaceDE w:val="0"/>
        <w:autoSpaceDN w:val="0"/>
        <w:adjustRightInd w:val="0"/>
        <w:rPr>
          <w:rFonts w:ascii="Garamond" w:hAnsi="Garamond"/>
          <w:bCs/>
        </w:rPr>
      </w:pPr>
      <w:r>
        <w:rPr>
          <w:rFonts w:ascii="Garamond" w:hAnsi="Garamond"/>
          <w:bCs/>
        </w:rPr>
        <w:t>2. Often reflects bias and attitudes of the participant</w:t>
      </w:r>
      <w:r>
        <w:rPr>
          <w:rFonts w:ascii="Garamond" w:hAnsi="Garamond"/>
          <w:bCs/>
        </w:rPr>
        <w:tab/>
      </w:r>
      <w:r>
        <w:rPr>
          <w:rFonts w:ascii="Garamond" w:hAnsi="Garamond"/>
          <w:bCs/>
        </w:rPr>
        <w:tab/>
        <w:t xml:space="preserve">2. Often avoids bias and echoes attitudes  </w:t>
      </w:r>
    </w:p>
    <w:p w:rsidR="00272A4F" w:rsidRDefault="00272A4F" w:rsidP="00272A4F">
      <w:pPr>
        <w:autoSpaceDE w:val="0"/>
        <w:autoSpaceDN w:val="0"/>
        <w:adjustRightInd w:val="0"/>
        <w:rPr>
          <w:rFonts w:ascii="Garamond" w:hAnsi="Garamond"/>
          <w:bCs/>
        </w:rPr>
      </w:pPr>
      <w:r>
        <w:rPr>
          <w:rFonts w:ascii="Garamond" w:hAnsi="Garamond"/>
          <w:bCs/>
        </w:rPr>
        <w:t xml:space="preserve">    and of the time period</w:t>
      </w:r>
      <w:r>
        <w:rPr>
          <w:rFonts w:ascii="Garamond" w:hAnsi="Garamond"/>
          <w:bCs/>
        </w:rPr>
        <w:tab/>
      </w:r>
      <w:r>
        <w:rPr>
          <w:rFonts w:ascii="Garamond" w:hAnsi="Garamond"/>
          <w:bCs/>
        </w:rPr>
        <w:tab/>
      </w:r>
      <w:r>
        <w:rPr>
          <w:rFonts w:ascii="Garamond" w:hAnsi="Garamond"/>
          <w:bCs/>
        </w:rPr>
        <w:tab/>
      </w:r>
      <w:r>
        <w:rPr>
          <w:rFonts w:ascii="Garamond" w:hAnsi="Garamond"/>
          <w:bCs/>
        </w:rPr>
        <w:tab/>
        <w:t xml:space="preserve">                of a later time period</w:t>
      </w:r>
    </w:p>
    <w:p w:rsidR="00272A4F" w:rsidRDefault="00272A4F" w:rsidP="00272A4F">
      <w:pPr>
        <w:autoSpaceDE w:val="0"/>
        <w:autoSpaceDN w:val="0"/>
        <w:adjustRightInd w:val="0"/>
        <w:ind w:left="720" w:hanging="720"/>
        <w:rPr>
          <w:rFonts w:ascii="Garamond" w:hAnsi="Garamond"/>
          <w:bCs/>
        </w:rPr>
      </w:pPr>
      <w:r>
        <w:rPr>
          <w:rFonts w:ascii="Garamond" w:hAnsi="Garamond"/>
          <w:bCs/>
        </w:rPr>
        <w:t>3. Reflects attitudes of the time period</w:t>
      </w:r>
      <w:r>
        <w:rPr>
          <w:rFonts w:ascii="Garamond" w:hAnsi="Garamond"/>
          <w:bCs/>
        </w:rPr>
        <w:tab/>
      </w:r>
      <w:r>
        <w:rPr>
          <w:rFonts w:ascii="Garamond" w:hAnsi="Garamond"/>
          <w:bCs/>
        </w:rPr>
        <w:tab/>
      </w:r>
      <w:r>
        <w:rPr>
          <w:rFonts w:ascii="Garamond" w:hAnsi="Garamond"/>
          <w:bCs/>
        </w:rPr>
        <w:tab/>
      </w:r>
      <w:r>
        <w:rPr>
          <w:rFonts w:ascii="Garamond" w:hAnsi="Garamond"/>
          <w:bCs/>
        </w:rPr>
        <w:tab/>
        <w:t xml:space="preserve">3. May express attitudes and interpretations of a later </w:t>
      </w:r>
    </w:p>
    <w:p w:rsidR="00272A4F" w:rsidRDefault="00272A4F" w:rsidP="00272A4F">
      <w:pPr>
        <w:autoSpaceDE w:val="0"/>
        <w:autoSpaceDN w:val="0"/>
        <w:adjustRightInd w:val="0"/>
        <w:ind w:left="5040" w:firstLine="720"/>
        <w:rPr>
          <w:rFonts w:ascii="Garamond" w:hAnsi="Garamond"/>
          <w:bCs/>
        </w:rPr>
      </w:pPr>
      <w:r>
        <w:rPr>
          <w:rFonts w:ascii="Garamond" w:hAnsi="Garamond"/>
          <w:bCs/>
        </w:rPr>
        <w:t xml:space="preserve">    time period </w:t>
      </w:r>
    </w:p>
    <w:p w:rsidR="00272A4F" w:rsidRPr="00BB3BBF" w:rsidRDefault="00272A4F" w:rsidP="00272A4F">
      <w:pPr>
        <w:pStyle w:val="Heading3"/>
        <w:spacing w:before="0"/>
        <w:rPr>
          <w:rFonts w:ascii="Garamond" w:hAnsi="Garamond"/>
          <w:bCs w:val="0"/>
          <w:w w:val="95"/>
          <w:sz w:val="28"/>
          <w:szCs w:val="28"/>
        </w:rPr>
      </w:pPr>
      <w:r>
        <w:rPr>
          <w:rFonts w:ascii="Garamond" w:hAnsi="Garamond"/>
          <w:bCs w:val="0"/>
          <w:w w:val="95"/>
          <w:sz w:val="28"/>
          <w:szCs w:val="28"/>
        </w:rPr>
        <w:t>USE OF PRIMARY SOURCES</w:t>
      </w:r>
    </w:p>
    <w:p w:rsidR="00272A4F" w:rsidRDefault="00272A4F" w:rsidP="00272A4F">
      <w:pPr>
        <w:pStyle w:val="BodyText"/>
        <w:numPr>
          <w:ilvl w:val="0"/>
          <w:numId w:val="3"/>
        </w:numPr>
        <w:rPr>
          <w:rFonts w:ascii="Garamond" w:hAnsi="Garamond"/>
          <w:sz w:val="24"/>
        </w:rPr>
      </w:pPr>
      <w:r>
        <w:rPr>
          <w:rFonts w:ascii="Garamond" w:hAnsi="Garamond"/>
          <w:sz w:val="24"/>
        </w:rPr>
        <w:t>The library will have census record indexes.  Find the index for the state and year you need.</w:t>
      </w:r>
    </w:p>
    <w:p w:rsidR="00272A4F" w:rsidRDefault="00272A4F" w:rsidP="00272A4F">
      <w:pPr>
        <w:pStyle w:val="BodyText"/>
        <w:numPr>
          <w:ilvl w:val="0"/>
          <w:numId w:val="3"/>
        </w:numPr>
        <w:rPr>
          <w:rFonts w:ascii="Garamond" w:hAnsi="Garamond"/>
          <w:sz w:val="24"/>
        </w:rPr>
      </w:pPr>
      <w:r>
        <w:rPr>
          <w:rFonts w:ascii="Garamond" w:hAnsi="Garamond"/>
          <w:sz w:val="24"/>
        </w:rPr>
        <w:t>The index will provide names, counties, states, page numbers and the location where the census was taken.</w:t>
      </w:r>
    </w:p>
    <w:p w:rsidR="00272A4F" w:rsidRDefault="00272A4F" w:rsidP="00272A4F">
      <w:pPr>
        <w:pStyle w:val="BodyText"/>
        <w:numPr>
          <w:ilvl w:val="0"/>
          <w:numId w:val="3"/>
        </w:numPr>
        <w:rPr>
          <w:rFonts w:ascii="Garamond" w:hAnsi="Garamond"/>
          <w:sz w:val="24"/>
        </w:rPr>
      </w:pPr>
      <w:r>
        <w:rPr>
          <w:rFonts w:ascii="Garamond" w:hAnsi="Garamond"/>
          <w:sz w:val="24"/>
        </w:rPr>
        <w:t>Write down the name, county and page number.  Take this to the census records.</w:t>
      </w:r>
    </w:p>
    <w:p w:rsidR="00272A4F" w:rsidRDefault="00272A4F" w:rsidP="00272A4F">
      <w:pPr>
        <w:pStyle w:val="BodyText"/>
        <w:numPr>
          <w:ilvl w:val="0"/>
          <w:numId w:val="3"/>
        </w:numPr>
        <w:rPr>
          <w:rFonts w:ascii="Garamond" w:hAnsi="Garamond"/>
          <w:sz w:val="24"/>
        </w:rPr>
      </w:pPr>
      <w:r>
        <w:rPr>
          <w:rFonts w:ascii="Garamond" w:hAnsi="Garamond"/>
          <w:sz w:val="24"/>
        </w:rPr>
        <w:t>The census records are on microfilm.  If you cannot locate the records, ask the librarian.</w:t>
      </w:r>
    </w:p>
    <w:p w:rsidR="00272A4F" w:rsidRDefault="00272A4F" w:rsidP="00272A4F">
      <w:pPr>
        <w:pStyle w:val="BodyText"/>
        <w:numPr>
          <w:ilvl w:val="0"/>
          <w:numId w:val="3"/>
        </w:numPr>
        <w:rPr>
          <w:rFonts w:ascii="Garamond" w:hAnsi="Garamond"/>
          <w:sz w:val="24"/>
        </w:rPr>
      </w:pPr>
      <w:r>
        <w:rPr>
          <w:rFonts w:ascii="Garamond" w:hAnsi="Garamond"/>
          <w:sz w:val="24"/>
        </w:rPr>
        <w:t>After locating the microfilm, you can take it a reader and you should be able to make copies.</w:t>
      </w:r>
    </w:p>
    <w:p w:rsidR="00272A4F" w:rsidRDefault="00272A4F" w:rsidP="00272A4F">
      <w:pPr>
        <w:pStyle w:val="BodyText"/>
        <w:rPr>
          <w:rFonts w:ascii="Garamond" w:hAnsi="Garamond"/>
          <w:sz w:val="24"/>
        </w:rPr>
      </w:pPr>
    </w:p>
    <w:p w:rsidR="00272A4F" w:rsidRPr="00BB3BBF" w:rsidRDefault="00272A4F" w:rsidP="00272A4F">
      <w:pPr>
        <w:pStyle w:val="Heading3"/>
        <w:spacing w:before="0"/>
        <w:rPr>
          <w:rFonts w:ascii="Garamond" w:hAnsi="Garamond"/>
          <w:bCs w:val="0"/>
          <w:w w:val="95"/>
          <w:sz w:val="28"/>
          <w:szCs w:val="28"/>
        </w:rPr>
      </w:pPr>
      <w:r>
        <w:rPr>
          <w:rFonts w:ascii="Garamond" w:hAnsi="Garamond"/>
          <w:bCs w:val="0"/>
          <w:w w:val="95"/>
          <w:sz w:val="28"/>
          <w:szCs w:val="28"/>
        </w:rPr>
        <w:t>USE OF SECONDARY SOURCES</w:t>
      </w:r>
    </w:p>
    <w:p w:rsidR="00272A4F" w:rsidRDefault="00272A4F" w:rsidP="00272A4F">
      <w:pPr>
        <w:pStyle w:val="BodyText"/>
        <w:rPr>
          <w:rFonts w:ascii="Garamond" w:hAnsi="Garamond"/>
          <w:sz w:val="24"/>
        </w:rPr>
      </w:pPr>
      <w:r>
        <w:rPr>
          <w:rFonts w:ascii="Garamond" w:hAnsi="Garamond"/>
          <w:sz w:val="24"/>
        </w:rPr>
        <w:t xml:space="preserve">The Texas State Library and Archives Commission offer the TexShare online database, which includes census records.  To be able to use this, you must be a </w:t>
      </w:r>
      <w:smartTag w:uri="urn:schemas-microsoft-com:office:smarttags" w:element="State">
        <w:r>
          <w:rPr>
            <w:rFonts w:ascii="Garamond" w:hAnsi="Garamond"/>
            <w:sz w:val="24"/>
          </w:rPr>
          <w:t>Texas</w:t>
        </w:r>
      </w:smartTag>
      <w:r>
        <w:rPr>
          <w:rFonts w:ascii="Garamond" w:hAnsi="Garamond"/>
          <w:sz w:val="24"/>
        </w:rPr>
        <w:t xml:space="preserve"> resident and either register at the Texas State Library in </w:t>
      </w:r>
      <w:smartTag w:uri="urn:schemas-microsoft-com:office:smarttags" w:element="place">
        <w:smartTag w:uri="urn:schemas-microsoft-com:office:smarttags" w:element="City">
          <w:r>
            <w:rPr>
              <w:rFonts w:ascii="Garamond" w:hAnsi="Garamond"/>
              <w:sz w:val="24"/>
            </w:rPr>
            <w:t>Austin</w:t>
          </w:r>
        </w:smartTag>
      </w:smartTag>
      <w:r>
        <w:rPr>
          <w:rFonts w:ascii="Garamond" w:hAnsi="Garamond"/>
          <w:sz w:val="24"/>
        </w:rPr>
        <w:t>, or with a local library that has access to the database.  The database that you will need to use is “HeritageQuest Online.”</w:t>
      </w:r>
    </w:p>
    <w:p w:rsidR="00272A4F" w:rsidRDefault="00272A4F" w:rsidP="00272A4F">
      <w:pPr>
        <w:pStyle w:val="BodyText"/>
        <w:numPr>
          <w:ilvl w:val="0"/>
          <w:numId w:val="4"/>
        </w:numPr>
        <w:rPr>
          <w:rFonts w:ascii="Garamond" w:hAnsi="Garamond"/>
          <w:sz w:val="24"/>
        </w:rPr>
      </w:pPr>
      <w:r>
        <w:rPr>
          <w:rFonts w:ascii="Garamond" w:hAnsi="Garamond"/>
          <w:sz w:val="24"/>
        </w:rPr>
        <w:t>Once accessing HeritageQuest Online, you will need to “search census records.”</w:t>
      </w:r>
    </w:p>
    <w:p w:rsidR="00272A4F" w:rsidRDefault="00272A4F" w:rsidP="00272A4F">
      <w:pPr>
        <w:pStyle w:val="BodyText"/>
        <w:numPr>
          <w:ilvl w:val="0"/>
          <w:numId w:val="4"/>
        </w:numPr>
        <w:rPr>
          <w:rFonts w:ascii="Garamond" w:hAnsi="Garamond"/>
          <w:sz w:val="24"/>
        </w:rPr>
      </w:pPr>
      <w:r>
        <w:rPr>
          <w:rFonts w:ascii="Garamond" w:hAnsi="Garamond"/>
          <w:sz w:val="24"/>
        </w:rPr>
        <w:t>In the fields provided, you can provide a surname, given name, census year and state.  If you do not have all of this information, you will most likely receive a greater amount of results from your search.</w:t>
      </w:r>
    </w:p>
    <w:p w:rsidR="00272A4F" w:rsidRDefault="00272A4F" w:rsidP="00272A4F">
      <w:pPr>
        <w:pStyle w:val="BodyText"/>
        <w:numPr>
          <w:ilvl w:val="0"/>
          <w:numId w:val="4"/>
        </w:numPr>
        <w:rPr>
          <w:rFonts w:ascii="Garamond" w:hAnsi="Garamond"/>
          <w:sz w:val="24"/>
        </w:rPr>
      </w:pPr>
      <w:r>
        <w:rPr>
          <w:rFonts w:ascii="Garamond" w:hAnsi="Garamond"/>
          <w:sz w:val="24"/>
        </w:rPr>
        <w:t>After getting your results, select the surname of the person you are researching.  The census record will load, which you read and print.</w:t>
      </w:r>
    </w:p>
    <w:p w:rsidR="00272A4F" w:rsidRDefault="00272A4F" w:rsidP="00272A4F">
      <w:pPr>
        <w:pStyle w:val="BodyText"/>
        <w:rPr>
          <w:rFonts w:ascii="Garamond" w:hAnsi="Garamond"/>
          <w:szCs w:val="22"/>
        </w:rPr>
      </w:pPr>
    </w:p>
    <w:p w:rsidR="00272A4F" w:rsidRPr="00BB3BBF" w:rsidRDefault="00272A4F" w:rsidP="00272A4F">
      <w:pPr>
        <w:pStyle w:val="Heading3"/>
        <w:spacing w:before="0"/>
        <w:rPr>
          <w:rFonts w:ascii="Garamond" w:hAnsi="Garamond"/>
          <w:bCs w:val="0"/>
          <w:w w:val="95"/>
          <w:sz w:val="28"/>
          <w:szCs w:val="28"/>
        </w:rPr>
      </w:pPr>
      <w:r>
        <w:rPr>
          <w:rFonts w:ascii="Garamond" w:hAnsi="Garamond"/>
          <w:bCs w:val="0"/>
          <w:w w:val="95"/>
          <w:sz w:val="28"/>
          <w:szCs w:val="28"/>
        </w:rPr>
        <w:t>QUESTIONS FOR ANALYZING SOURCES</w:t>
      </w:r>
    </w:p>
    <w:p w:rsidR="00897E94" w:rsidRDefault="00272A4F" w:rsidP="00272A4F">
      <w:pPr>
        <w:pStyle w:val="BodyText"/>
      </w:pPr>
      <w:r>
        <w:t xml:space="preserve">Another way to look up census records is to use the Soundex system, which was instituted to organize the censuses of 1880, 1900, 1920 and part of 1910.  This index is organized by the first letter of the last name and then by a three-digit code, with the idea that variations of surname spellings would still be filed in the correct area.  However, it also means that several different surnames will be filed under the same code.  </w:t>
      </w:r>
    </w:p>
    <w:p w:rsidR="00897E94" w:rsidRPr="00897E94" w:rsidRDefault="00897E94" w:rsidP="00897E94">
      <w:r>
        <w:rPr>
          <w:noProof/>
        </w:rPr>
        <w:pict>
          <v:line id="_x0000_s1030" style="position:absolute;z-index:251657728" from="-9pt,9.35pt" to="540pt,9.35pt" strokeweight="3pt"/>
        </w:pict>
      </w:r>
    </w:p>
    <w:p w:rsidR="00897E94" w:rsidRPr="00897E94" w:rsidRDefault="00272A4F" w:rsidP="00897E94">
      <w:r>
        <w:rPr>
          <w:noProof/>
        </w:rPr>
        <w:pict>
          <v:shape id="_x0000_s1035" type="#_x0000_t75" style="position:absolute;margin-left:306pt;margin-top:3.15pt;width:3in;height:81.75pt;z-index:251658752">
            <v:imagedata r:id="rId6" o:title="thc_logo"/>
            <w10:wrap type="square"/>
          </v:shape>
        </w:pict>
      </w:r>
      <w:r>
        <w:rPr>
          <w:noProof/>
        </w:rPr>
        <w:pict>
          <v:shapetype id="_x0000_t202" coordsize="21600,21600" o:spt="202" path="m,l,21600r21600,l21600,xe">
            <v:stroke joinstyle="miter"/>
            <v:path gradientshapeok="t" o:connecttype="rect"/>
          </v:shapetype>
          <v:shape id="_x0000_s1028" type="#_x0000_t202" style="position:absolute;margin-left:0;margin-top:3.15pt;width:3in;height:1in;z-index:251656704" stroked="f">
            <v:textbox style="mso-next-textbox:#_x0000_s1028">
              <w:txbxContent>
                <w:p w:rsidR="00DA0B38" w:rsidRDefault="00DA0B38">
                  <w:pPr>
                    <w:rPr>
                      <w:sz w:val="22"/>
                    </w:rPr>
                  </w:pPr>
                  <w:smartTag w:uri="urn:schemas-microsoft-com:office:smarttags" w:element="State">
                    <w:smartTag w:uri="urn:schemas-microsoft-com:office:smarttags" w:element="place">
                      <w:r>
                        <w:rPr>
                          <w:sz w:val="22"/>
                        </w:rPr>
                        <w:t>Texas</w:t>
                      </w:r>
                    </w:smartTag>
                  </w:smartTag>
                  <w:r>
                    <w:rPr>
                      <w:sz w:val="22"/>
                    </w:rPr>
                    <w:t xml:space="preserve"> Historical Commission</w:t>
                  </w:r>
                </w:p>
                <w:p w:rsidR="00DA0B38" w:rsidRDefault="00DA0B38">
                  <w:pPr>
                    <w:rPr>
                      <w:sz w:val="22"/>
                    </w:rPr>
                  </w:pPr>
                  <w:smartTag w:uri="urn:schemas-microsoft-com:office:smarttags" w:element="PersonName">
                    <w:r>
                      <w:rPr>
                        <w:sz w:val="22"/>
                      </w:rPr>
                      <w:t>History</w:t>
                    </w:r>
                  </w:smartTag>
                  <w:r>
                    <w:rPr>
                      <w:sz w:val="22"/>
                    </w:rPr>
                    <w:t xml:space="preserve"> Programs Division</w:t>
                  </w:r>
                </w:p>
                <w:p w:rsidR="00DA0B38" w:rsidRDefault="00DA0B38">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DA0B38" w:rsidRDefault="00DA0B38">
                  <w:pPr>
                    <w:rPr>
                      <w:sz w:val="22"/>
                    </w:rPr>
                  </w:pPr>
                  <w:r>
                    <w:rPr>
                      <w:sz w:val="22"/>
                    </w:rPr>
                    <w:t>Phone 512/463-5853</w:t>
                  </w:r>
                </w:p>
                <w:p w:rsidR="00DA0B38" w:rsidRDefault="00897E94">
                  <w:pPr>
                    <w:rPr>
                      <w:sz w:val="22"/>
                    </w:rPr>
                  </w:pPr>
                  <w:r>
                    <w:rPr>
                      <w:sz w:val="22"/>
                    </w:rPr>
                    <w:t>history@thc.</w:t>
                  </w:r>
                  <w:r w:rsidR="00BB72F7">
                    <w:rPr>
                      <w:sz w:val="22"/>
                    </w:rPr>
                    <w:t>texas.gov</w:t>
                  </w:r>
                </w:p>
              </w:txbxContent>
            </v:textbox>
          </v:shape>
        </w:pict>
      </w:r>
    </w:p>
    <w:p w:rsidR="00897E94" w:rsidRPr="00897E94" w:rsidRDefault="00897E94" w:rsidP="00897E94"/>
    <w:p w:rsidR="00DA0B38" w:rsidRPr="00897E94" w:rsidRDefault="00897E94" w:rsidP="00897E94">
      <w:pPr>
        <w:jc w:val="center"/>
      </w:pPr>
      <w:r>
        <w:tab/>
      </w:r>
      <w:r>
        <w:tab/>
      </w:r>
      <w:r>
        <w:tab/>
      </w:r>
      <w:r>
        <w:tab/>
      </w:r>
      <w:r>
        <w:tab/>
      </w:r>
      <w:r>
        <w:tab/>
      </w:r>
      <w:r>
        <w:tab/>
      </w:r>
      <w:r>
        <w:tab/>
      </w:r>
    </w:p>
    <w:sectPr w:rsidR="00DA0B38" w:rsidRPr="00897E9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D0A"/>
    <w:multiLevelType w:val="hybridMultilevel"/>
    <w:tmpl w:val="3F9A7A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B00801"/>
    <w:multiLevelType w:val="hybridMultilevel"/>
    <w:tmpl w:val="957C5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362C87"/>
    <w:multiLevelType w:val="hybridMultilevel"/>
    <w:tmpl w:val="BF965B8C"/>
    <w:lvl w:ilvl="0" w:tplc="9AB0EA3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454E3"/>
    <w:multiLevelType w:val="hybridMultilevel"/>
    <w:tmpl w:val="AD447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85uyU489U7Kmhpnj8w7VMZycprcc3Hmni7HW1Xg+Bcf9hcI7y/6U86Ru29MjEF5zvoONGYFrqdsqhlr1eyOuNA==" w:salt="e0QtrSCXmBrHFvXHCen0qw=="/>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2F1"/>
    <w:rsid w:val="00086669"/>
    <w:rsid w:val="001908EE"/>
    <w:rsid w:val="0020256D"/>
    <w:rsid w:val="00214CB2"/>
    <w:rsid w:val="00272A4F"/>
    <w:rsid w:val="003B4330"/>
    <w:rsid w:val="00473552"/>
    <w:rsid w:val="00521ED7"/>
    <w:rsid w:val="006B1D09"/>
    <w:rsid w:val="006D5EF7"/>
    <w:rsid w:val="00841199"/>
    <w:rsid w:val="008910D6"/>
    <w:rsid w:val="00897E94"/>
    <w:rsid w:val="009A0F19"/>
    <w:rsid w:val="009A582F"/>
    <w:rsid w:val="00AF5D12"/>
    <w:rsid w:val="00B62ACA"/>
    <w:rsid w:val="00BB72F7"/>
    <w:rsid w:val="00C614EB"/>
    <w:rsid w:val="00DA0B38"/>
    <w:rsid w:val="00DF4120"/>
    <w:rsid w:val="00E052F1"/>
    <w:rsid w:val="00E4095A"/>
    <w:rsid w:val="00E437B3"/>
    <w:rsid w:val="00E67508"/>
    <w:rsid w:val="00E90456"/>
    <w:rsid w:val="00EA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DD467AD-B35F-4808-8955-8F1AF4EE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3">
    <w:name w:val="heading 3"/>
    <w:basedOn w:val="Normal"/>
    <w:next w:val="Normal"/>
    <w:qFormat/>
    <w:rsid w:val="00272A4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67508"/>
    <w:pPr>
      <w:jc w:val="center"/>
    </w:pPr>
    <w:rPr>
      <w:sz w:val="36"/>
    </w:rPr>
  </w:style>
  <w:style w:type="character" w:styleId="Hyperlink">
    <w:name w:val="Hyperlink"/>
    <w:rsid w:val="00E67508"/>
    <w:rPr>
      <w:color w:val="0000FF"/>
      <w:u w:val="single"/>
    </w:rPr>
  </w:style>
  <w:style w:type="paragraph" w:styleId="BalloonText">
    <w:name w:val="Balloon Text"/>
    <w:basedOn w:val="Normal"/>
    <w:semiHidden/>
    <w:rsid w:val="00E90456"/>
    <w:rPr>
      <w:rFonts w:ascii="Tahoma" w:hAnsi="Tahoma" w:cs="Tahoma"/>
      <w:sz w:val="16"/>
      <w:szCs w:val="16"/>
    </w:rPr>
  </w:style>
  <w:style w:type="paragraph" w:styleId="BodyText">
    <w:name w:val="Body Text"/>
    <w:basedOn w:val="Normal"/>
    <w:link w:val="BodyTextChar"/>
    <w:rsid w:val="00272A4F"/>
    <w:rPr>
      <w:sz w:val="22"/>
    </w:rPr>
  </w:style>
  <w:style w:type="character" w:customStyle="1" w:styleId="BodyTextChar">
    <w:name w:val="Body Text Char"/>
    <w:link w:val="BodyText"/>
    <w:rsid w:val="00272A4F"/>
    <w:rPr>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paigen</dc:creator>
  <cp:keywords/>
  <dc:description/>
  <cp:lastModifiedBy>Lynnette Cen</cp:lastModifiedBy>
  <cp:revision>2</cp:revision>
  <cp:lastPrinted>2006-09-05T13:07:00Z</cp:lastPrinted>
  <dcterms:created xsi:type="dcterms:W3CDTF">2018-08-28T22:00:00Z</dcterms:created>
  <dcterms:modified xsi:type="dcterms:W3CDTF">2018-08-28T22:00:00Z</dcterms:modified>
</cp:coreProperties>
</file>