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993DF" w14:textId="77777777" w:rsidR="004D2564" w:rsidRDefault="004D2564" w:rsidP="00742AC4"/>
    <w:p w14:paraId="73135F33" w14:textId="7C8BDD83" w:rsidR="009E6A98" w:rsidRPr="001A1D40" w:rsidRDefault="00545D81" w:rsidP="009E6A98">
      <w:pPr>
        <w:rPr>
          <w:rFonts w:cstheme="minorHAnsi"/>
        </w:rPr>
      </w:pPr>
      <w:r w:rsidRPr="001A1D40">
        <w:rPr>
          <w:noProof/>
        </w:rPr>
        <mc:AlternateContent>
          <mc:Choice Requires="wps">
            <w:drawing>
              <wp:anchor distT="0" distB="0" distL="114300" distR="114300" simplePos="0" relativeHeight="251659264" behindDoc="0" locked="1" layoutInCell="1" allowOverlap="1" wp14:anchorId="416E708A" wp14:editId="44E0361A">
                <wp:simplePos x="0" y="0"/>
                <wp:positionH relativeFrom="column">
                  <wp:posOffset>2145665</wp:posOffset>
                </wp:positionH>
                <wp:positionV relativeFrom="page">
                  <wp:posOffset>731520</wp:posOffset>
                </wp:positionV>
                <wp:extent cx="4251960" cy="694944"/>
                <wp:effectExtent l="0" t="0" r="2540" b="3810"/>
                <wp:wrapNone/>
                <wp:docPr id="6" name="Text Box 6"/>
                <wp:cNvGraphicFramePr/>
                <a:graphic xmlns:a="http://schemas.openxmlformats.org/drawingml/2006/main">
                  <a:graphicData uri="http://schemas.microsoft.com/office/word/2010/wordprocessingShape">
                    <wps:wsp>
                      <wps:cNvSpPr txBox="1"/>
                      <wps:spPr>
                        <a:xfrm>
                          <a:off x="0" y="0"/>
                          <a:ext cx="4251960" cy="694944"/>
                        </a:xfrm>
                        <a:prstGeom prst="rect">
                          <a:avLst/>
                        </a:prstGeom>
                        <a:noFill/>
                        <a:ln w="6350">
                          <a:noFill/>
                        </a:ln>
                      </wps:spPr>
                      <wps:txbx>
                        <w:txbxContent>
                          <w:p w14:paraId="25A3CF9B" w14:textId="6F5DCCEF" w:rsidR="006B22B3" w:rsidRPr="008116E4" w:rsidRDefault="006B22B3">
                            <w:pPr>
                              <w:rPr>
                                <w:rFonts w:ascii="Arial" w:hAnsi="Arial" w:cs="Arial"/>
                                <w:b/>
                                <w:bCs/>
                                <w:color w:val="6F6259"/>
                                <w:sz w:val="28"/>
                                <w:szCs w:val="28"/>
                              </w:rPr>
                            </w:pPr>
                            <w:r>
                              <w:rPr>
                                <w:rFonts w:ascii="Arial" w:hAnsi="Arial" w:cs="Arial"/>
                                <w:b/>
                                <w:bCs/>
                                <w:color w:val="6F6259"/>
                                <w:sz w:val="28"/>
                                <w:szCs w:val="28"/>
                              </w:rPr>
                              <w:t>Identification and Documentation</w:t>
                            </w:r>
                          </w:p>
                          <w:p w14:paraId="186042CF" w14:textId="063E09E1" w:rsidR="006B22B3" w:rsidRPr="008116E4" w:rsidRDefault="006B22B3" w:rsidP="008116E4">
                            <w:pPr>
                              <w:rPr>
                                <w:color w:val="6F6259"/>
                              </w:rPr>
                            </w:pPr>
                            <w:r>
                              <w:rPr>
                                <w:color w:val="6F6259"/>
                              </w:rPr>
                              <w:t>Preservation Bootcamp</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16E708A" id="_x0000_t202" coordsize="21600,21600" o:spt="202" path="m,l,21600r21600,l21600,xe">
                <v:stroke joinstyle="miter"/>
                <v:path gradientshapeok="t" o:connecttype="rect"/>
              </v:shapetype>
              <v:shape id="Text Box 6" o:spid="_x0000_s1026" type="#_x0000_t202" style="position:absolute;margin-left:168.95pt;margin-top:57.6pt;width:334.8pt;height:5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" filled="f" stroked="f" strokeweight=".5pt">
                <v:textbox inset="0,0,0,0">
                  <w:txbxContent>
                    <w:p w14:paraId="25A3CF9B" w14:textId="6F5DCCEF" w:rsidR="006B22B3" w:rsidRPr="008116E4" w:rsidRDefault="006B22B3">
                      <w:pPr>
                        <w:rPr>
                          <w:rFonts w:ascii="Arial" w:hAnsi="Arial" w:cs="Arial"/>
                          <w:b/>
                          <w:bCs/>
                          <w:color w:val="6F6259"/>
                          <w:sz w:val="28"/>
                          <w:szCs w:val="28"/>
                        </w:rPr>
                      </w:pPr>
                      <w:r>
                        <w:rPr>
                          <w:rFonts w:ascii="Arial" w:hAnsi="Arial" w:cs="Arial"/>
                          <w:b/>
                          <w:bCs/>
                          <w:color w:val="6F6259"/>
                          <w:sz w:val="28"/>
                          <w:szCs w:val="28"/>
                        </w:rPr>
                        <w:t>Identification and Documentation</w:t>
                      </w:r>
                    </w:p>
                    <w:p w14:paraId="186042CF" w14:textId="063E09E1" w:rsidR="006B22B3" w:rsidRPr="008116E4" w:rsidRDefault="006B22B3" w:rsidP="008116E4">
                      <w:pPr>
                        <w:rPr>
                          <w:color w:val="6F6259"/>
                        </w:rPr>
                      </w:pPr>
                      <w:r>
                        <w:rPr>
                          <w:color w:val="6F6259"/>
                        </w:rPr>
                        <w:t>Preservation Bootcamp</w:t>
                      </w:r>
                    </w:p>
                  </w:txbxContent>
                </v:textbox>
                <w10:wrap anchory="page"/>
                <w10:anchorlock/>
              </v:shape>
            </w:pict>
          </mc:Fallback>
        </mc:AlternateContent>
      </w:r>
      <w:r w:rsidR="009E6A98" w:rsidRPr="001A1D40">
        <w:t xml:space="preserve"> </w:t>
      </w:r>
      <w:r w:rsidR="009E6A98" w:rsidRPr="001A1D40">
        <w:rPr>
          <w:rFonts w:cstheme="minorHAnsi"/>
        </w:rPr>
        <w:t xml:space="preserve">Historic Research </w:t>
      </w:r>
    </w:p>
    <w:p w14:paraId="1CBDF1FD" w14:textId="77777777" w:rsidR="009E6A98" w:rsidRPr="001A1D40" w:rsidRDefault="009E6A98" w:rsidP="009E6A98">
      <w:pPr>
        <w:rPr>
          <w:rFonts w:cstheme="minorHAnsi"/>
        </w:rPr>
      </w:pPr>
    </w:p>
    <w:p w14:paraId="70F527DE" w14:textId="6D502893" w:rsidR="00BE6B44" w:rsidRPr="001A1D40" w:rsidRDefault="009E6A98" w:rsidP="009E6A98">
      <w:pPr>
        <w:ind w:left="720"/>
        <w:rPr>
          <w:rFonts w:cstheme="minorHAnsi"/>
          <w:noProof/>
        </w:rPr>
      </w:pPr>
      <w:r w:rsidRPr="001A1D40">
        <w:rPr>
          <w:rFonts w:cstheme="minorHAnsi"/>
          <w:noProof/>
        </w:rPr>
        <w:t>Identification and documentation are important parts of historic preservation</w:t>
      </w:r>
      <w:r w:rsidR="006241D0" w:rsidRPr="001A1D40">
        <w:rPr>
          <w:rFonts w:cstheme="minorHAnsi"/>
          <w:noProof/>
        </w:rPr>
        <w:t>.</w:t>
      </w:r>
      <w:r w:rsidRPr="001A1D40">
        <w:rPr>
          <w:rFonts w:cstheme="minorHAnsi"/>
          <w:noProof/>
        </w:rPr>
        <w:t xml:space="preserve"> </w:t>
      </w:r>
    </w:p>
    <w:p w14:paraId="07FC3804" w14:textId="77777777" w:rsidR="00BE6B44" w:rsidRPr="001A1D40" w:rsidRDefault="00BE6B44" w:rsidP="009E6A98">
      <w:pPr>
        <w:ind w:left="720"/>
        <w:rPr>
          <w:rFonts w:cstheme="minorHAnsi"/>
          <w:noProof/>
        </w:rPr>
      </w:pPr>
    </w:p>
    <w:p w14:paraId="73E2884D" w14:textId="74B5DFD4" w:rsidR="00BE6B44" w:rsidRPr="001A1D40" w:rsidRDefault="00BE6B44" w:rsidP="00BE6B44">
      <w:pPr>
        <w:ind w:firstLine="720"/>
        <w:rPr>
          <w:rFonts w:cstheme="minorHAnsi"/>
          <w:noProof/>
        </w:rPr>
      </w:pPr>
      <w:r w:rsidRPr="001A1D40">
        <w:rPr>
          <w:rFonts w:cstheme="minorHAnsi"/>
          <w:noProof/>
        </w:rPr>
        <w:t>The THC has developed a guideline for historica</w:t>
      </w:r>
      <w:r w:rsidR="006241D0" w:rsidRPr="001A1D40">
        <w:rPr>
          <w:rFonts w:cstheme="minorHAnsi"/>
          <w:noProof/>
        </w:rPr>
        <w:t>l</w:t>
      </w:r>
      <w:r w:rsidRPr="001A1D40">
        <w:rPr>
          <w:rFonts w:cstheme="minorHAnsi"/>
          <w:noProof/>
        </w:rPr>
        <w:t xml:space="preserve"> research that is a great place to start: </w:t>
      </w:r>
    </w:p>
    <w:p w14:paraId="0542178D" w14:textId="32C9AB1E" w:rsidR="00BE6B44" w:rsidRPr="001A1D40" w:rsidRDefault="00D31894" w:rsidP="00BE6B44">
      <w:pPr>
        <w:ind w:firstLine="720"/>
        <w:rPr>
          <w:rFonts w:cstheme="minorHAnsi"/>
          <w:noProof/>
        </w:rPr>
      </w:pPr>
      <w:hyperlink r:id="rId8" w:history="1">
        <w:r w:rsidR="00BE6B44" w:rsidRPr="00D31894">
          <w:rPr>
            <w:rStyle w:val="Hyperlink"/>
            <w:rFonts w:cstheme="minorHAnsi"/>
            <w:noProof/>
          </w:rPr>
          <w:t>Remembe</w:t>
        </w:r>
        <w:r w:rsidR="00BE6B44" w:rsidRPr="00D31894">
          <w:rPr>
            <w:rStyle w:val="Hyperlink"/>
            <w:rFonts w:cstheme="minorHAnsi"/>
            <w:noProof/>
          </w:rPr>
          <w:t>r</w:t>
        </w:r>
        <w:r w:rsidR="00BE6B44" w:rsidRPr="00D31894">
          <w:rPr>
            <w:rStyle w:val="Hyperlink"/>
            <w:rFonts w:cstheme="minorHAnsi"/>
            <w:noProof/>
          </w:rPr>
          <w:t>ing Texas: Guidelines for Historical Research</w:t>
        </w:r>
      </w:hyperlink>
    </w:p>
    <w:p w14:paraId="1FEAB4EA" w14:textId="538E207D" w:rsidR="00BE6B44" w:rsidRPr="001A1D40" w:rsidRDefault="00BE6B44" w:rsidP="009E6A98">
      <w:pPr>
        <w:ind w:left="720"/>
        <w:rPr>
          <w:rFonts w:cstheme="minorHAnsi"/>
          <w:noProof/>
        </w:rPr>
      </w:pPr>
      <w:r w:rsidRPr="001A1D40">
        <w:rPr>
          <w:rFonts w:cstheme="minorHAnsi"/>
          <w:noProof/>
        </w:rPr>
        <w:t xml:space="preserve"> </w:t>
      </w:r>
    </w:p>
    <w:p w14:paraId="35C282F3" w14:textId="38A2032B" w:rsidR="00BE6B44" w:rsidRPr="001A1D40" w:rsidRDefault="00B810D1" w:rsidP="009E6A98">
      <w:pPr>
        <w:ind w:left="720"/>
        <w:rPr>
          <w:rFonts w:cstheme="minorHAnsi"/>
          <w:noProof/>
        </w:rPr>
      </w:pPr>
      <w:r w:rsidRPr="001A1D40">
        <w:rPr>
          <w:rFonts w:cstheme="minorHAnsi"/>
          <w:noProof/>
        </w:rPr>
        <w:t>Or by specific resource</w:t>
      </w:r>
      <w:r w:rsidR="00D31894">
        <w:rPr>
          <w:rFonts w:cstheme="minorHAnsi"/>
          <w:noProof/>
        </w:rPr>
        <w:t xml:space="preserve"> type</w:t>
      </w:r>
      <w:r w:rsidRPr="001A1D40">
        <w:rPr>
          <w:rFonts w:cstheme="minorHAnsi"/>
          <w:noProof/>
        </w:rPr>
        <w:t xml:space="preserve"> here: </w:t>
      </w:r>
      <w:hyperlink r:id="rId9" w:history="1">
        <w:r w:rsidRPr="001A1D40">
          <w:rPr>
            <w:rStyle w:val="Hyperlink"/>
            <w:rFonts w:cstheme="minorHAnsi"/>
            <w:noProof/>
          </w:rPr>
          <w:t>https://www.thc.texas.gov/marker-resear</w:t>
        </w:r>
        <w:r w:rsidRPr="001A1D40">
          <w:rPr>
            <w:rStyle w:val="Hyperlink"/>
            <w:rFonts w:cstheme="minorHAnsi"/>
            <w:noProof/>
          </w:rPr>
          <w:t>c</w:t>
        </w:r>
        <w:r w:rsidRPr="001A1D40">
          <w:rPr>
            <w:rStyle w:val="Hyperlink"/>
            <w:rFonts w:cstheme="minorHAnsi"/>
            <w:noProof/>
          </w:rPr>
          <w:t>h-guides</w:t>
        </w:r>
      </w:hyperlink>
    </w:p>
    <w:p w14:paraId="25543ACC" w14:textId="77777777" w:rsidR="00B810D1" w:rsidRPr="001A1D40" w:rsidRDefault="00B810D1" w:rsidP="009E6A98">
      <w:pPr>
        <w:ind w:left="720"/>
        <w:rPr>
          <w:rFonts w:cstheme="minorHAnsi"/>
          <w:noProof/>
        </w:rPr>
      </w:pPr>
    </w:p>
    <w:p w14:paraId="49381B37" w14:textId="6E2F7F90" w:rsidR="009E6A98" w:rsidRPr="001A1D40" w:rsidRDefault="009E6A98" w:rsidP="009E6A98">
      <w:pPr>
        <w:ind w:left="720"/>
        <w:rPr>
          <w:rFonts w:cstheme="minorHAnsi"/>
          <w:noProof/>
        </w:rPr>
      </w:pPr>
      <w:r w:rsidRPr="001A1D40">
        <w:rPr>
          <w:rFonts w:cstheme="minorHAnsi"/>
          <w:noProof/>
        </w:rPr>
        <w:t xml:space="preserve">Research  is not a one and done </w:t>
      </w:r>
      <w:r w:rsidR="006241D0" w:rsidRPr="001A1D40">
        <w:rPr>
          <w:rFonts w:cstheme="minorHAnsi"/>
          <w:noProof/>
        </w:rPr>
        <w:t>event</w:t>
      </w:r>
      <w:r w:rsidRPr="001A1D40">
        <w:rPr>
          <w:rFonts w:cstheme="minorHAnsi"/>
          <w:noProof/>
        </w:rPr>
        <w:t>; you will have to consult multiple sources in order to get the most information possible. Take your time resear</w:t>
      </w:r>
      <w:bookmarkStart w:id="0" w:name="_GoBack"/>
      <w:bookmarkEnd w:id="0"/>
      <w:r w:rsidRPr="001A1D40">
        <w:rPr>
          <w:rFonts w:cstheme="minorHAnsi"/>
          <w:noProof/>
        </w:rPr>
        <w:t xml:space="preserve">ching and make sure to take good notes so you know where the information came from. </w:t>
      </w:r>
    </w:p>
    <w:p w14:paraId="0878F835" w14:textId="77777777" w:rsidR="009E6A98" w:rsidRPr="001A1D40" w:rsidRDefault="009E6A98" w:rsidP="009E6A98">
      <w:pPr>
        <w:ind w:left="720"/>
        <w:rPr>
          <w:rFonts w:cstheme="minorHAnsi"/>
          <w:noProof/>
        </w:rPr>
      </w:pPr>
      <w:r w:rsidRPr="001A1D40">
        <w:rPr>
          <w:rFonts w:cstheme="minorHAnsi"/>
          <w:noProof/>
        </w:rPr>
        <w:t xml:space="preserve">Below are some helpful Online resources: </w:t>
      </w:r>
    </w:p>
    <w:p w14:paraId="23D6B9F6" w14:textId="2D0C317E" w:rsidR="009E6A98" w:rsidRPr="001A1D40" w:rsidRDefault="00D31894" w:rsidP="009E6A98">
      <w:pPr>
        <w:pStyle w:val="ListParagraph"/>
        <w:numPr>
          <w:ilvl w:val="1"/>
          <w:numId w:val="1"/>
        </w:numPr>
        <w:rPr>
          <w:rFonts w:ascii="Garamond" w:hAnsi="Garamond" w:cstheme="minorHAnsi"/>
          <w:noProof/>
        </w:rPr>
      </w:pPr>
      <w:hyperlink r:id="rId10" w:history="1">
        <w:r w:rsidR="009E6A98" w:rsidRPr="001A1D40">
          <w:rPr>
            <w:rStyle w:val="Hyperlink"/>
            <w:rFonts w:ascii="Garamond" w:hAnsi="Garamond" w:cstheme="minorHAnsi"/>
            <w:noProof/>
          </w:rPr>
          <w:t>APT Building Technology Heritage Library</w:t>
        </w:r>
      </w:hyperlink>
      <w:r w:rsidR="009E6A98" w:rsidRPr="001A1D40">
        <w:rPr>
          <w:rFonts w:ascii="Garamond" w:hAnsi="Garamond" w:cstheme="minorHAnsi"/>
          <w:noProof/>
        </w:rPr>
        <w:t xml:space="preserve"> </w:t>
      </w:r>
    </w:p>
    <w:p w14:paraId="7FA8C863" w14:textId="6C787BC2" w:rsidR="009E6A98" w:rsidRPr="001A1D40" w:rsidRDefault="00D31894" w:rsidP="009E6A98">
      <w:pPr>
        <w:pStyle w:val="ListParagraph"/>
        <w:numPr>
          <w:ilvl w:val="1"/>
          <w:numId w:val="1"/>
        </w:numPr>
        <w:rPr>
          <w:rFonts w:ascii="Garamond" w:hAnsi="Garamond" w:cstheme="minorHAnsi"/>
          <w:noProof/>
        </w:rPr>
      </w:pPr>
      <w:hyperlink r:id="rId11" w:history="1">
        <w:r w:rsidR="009E6A98" w:rsidRPr="001A1D40">
          <w:rPr>
            <w:rStyle w:val="Hyperlink"/>
            <w:rFonts w:ascii="Garamond" w:hAnsi="Garamond" w:cstheme="minorHAnsi"/>
            <w:noProof/>
          </w:rPr>
          <w:t>UNTs Portal to Texas History</w:t>
        </w:r>
      </w:hyperlink>
      <w:r w:rsidR="009E6A98" w:rsidRPr="001A1D40">
        <w:rPr>
          <w:rFonts w:ascii="Garamond" w:hAnsi="Garamond" w:cstheme="minorHAnsi"/>
          <w:noProof/>
        </w:rPr>
        <w:t xml:space="preserve"> </w:t>
      </w:r>
    </w:p>
    <w:p w14:paraId="091C7CBF" w14:textId="0B811BA2" w:rsidR="009E6A98" w:rsidRPr="001A1D40" w:rsidRDefault="00D31894" w:rsidP="009E6A98">
      <w:pPr>
        <w:pStyle w:val="ListParagraph"/>
        <w:numPr>
          <w:ilvl w:val="1"/>
          <w:numId w:val="1"/>
        </w:numPr>
        <w:rPr>
          <w:rFonts w:ascii="Garamond" w:hAnsi="Garamond" w:cstheme="minorHAnsi"/>
          <w:noProof/>
        </w:rPr>
      </w:pPr>
      <w:hyperlink r:id="rId12" w:history="1">
        <w:r w:rsidR="009E6A98" w:rsidRPr="001A1D40">
          <w:rPr>
            <w:rStyle w:val="Hyperlink"/>
            <w:rFonts w:ascii="Garamond" w:hAnsi="Garamond" w:cstheme="minorHAnsi"/>
            <w:noProof/>
          </w:rPr>
          <w:t>Baylor University Photographic Archive, Texas Collection</w:t>
        </w:r>
      </w:hyperlink>
      <w:r w:rsidR="009E6A98" w:rsidRPr="001A1D40">
        <w:rPr>
          <w:rFonts w:ascii="Garamond" w:hAnsi="Garamond" w:cstheme="minorHAnsi"/>
          <w:noProof/>
        </w:rPr>
        <w:t xml:space="preserve"> </w:t>
      </w:r>
    </w:p>
    <w:p w14:paraId="24EA6BC1" w14:textId="794A8AF8" w:rsidR="009E6A98" w:rsidRPr="001A1D40" w:rsidRDefault="00D31894" w:rsidP="009E6A98">
      <w:pPr>
        <w:pStyle w:val="ListParagraph"/>
        <w:numPr>
          <w:ilvl w:val="1"/>
          <w:numId w:val="1"/>
        </w:numPr>
        <w:rPr>
          <w:rFonts w:ascii="Garamond" w:hAnsi="Garamond" w:cstheme="minorHAnsi"/>
          <w:noProof/>
        </w:rPr>
      </w:pPr>
      <w:hyperlink r:id="rId13" w:history="1">
        <w:r w:rsidR="009E6A98" w:rsidRPr="001A1D40">
          <w:rPr>
            <w:rStyle w:val="Hyperlink"/>
            <w:rFonts w:ascii="Garamond" w:hAnsi="Garamond" w:cstheme="minorHAnsi"/>
            <w:noProof/>
          </w:rPr>
          <w:t>Amon Carter Museum (Fort Worth), Texas Bird’s-Eye View</w:t>
        </w:r>
      </w:hyperlink>
      <w:r w:rsidR="009E6A98" w:rsidRPr="001A1D40">
        <w:rPr>
          <w:rFonts w:ascii="Garamond" w:hAnsi="Garamond" w:cstheme="minorHAnsi"/>
          <w:noProof/>
        </w:rPr>
        <w:t xml:space="preserve"> </w:t>
      </w:r>
    </w:p>
    <w:p w14:paraId="345DC85F" w14:textId="248FF8C4" w:rsidR="00BE6B44" w:rsidRPr="001A1D40" w:rsidRDefault="00D31894" w:rsidP="009E6A98">
      <w:pPr>
        <w:pStyle w:val="ListParagraph"/>
        <w:numPr>
          <w:ilvl w:val="1"/>
          <w:numId w:val="1"/>
        </w:numPr>
        <w:rPr>
          <w:rFonts w:ascii="Garamond" w:hAnsi="Garamond" w:cstheme="minorHAnsi"/>
          <w:noProof/>
        </w:rPr>
      </w:pPr>
      <w:hyperlink r:id="rId14" w:history="1">
        <w:r w:rsidR="00BE6B44" w:rsidRPr="001A1D40">
          <w:rPr>
            <w:rStyle w:val="Hyperlink"/>
            <w:rFonts w:ascii="Garamond" w:hAnsi="Garamond" w:cstheme="minorHAnsi"/>
          </w:rPr>
          <w:t>Handbook of Texas</w:t>
        </w:r>
      </w:hyperlink>
      <w:r w:rsidR="00BE6B44" w:rsidRPr="001A1D40">
        <w:rPr>
          <w:rFonts w:ascii="Garamond" w:hAnsi="Garamond" w:cstheme="minorHAnsi"/>
        </w:rPr>
        <w:t xml:space="preserve"> </w:t>
      </w:r>
    </w:p>
    <w:p w14:paraId="50347FB6" w14:textId="77777777" w:rsidR="009E6A98" w:rsidRPr="001A1D40" w:rsidRDefault="009E6A98" w:rsidP="009E6A98">
      <w:pPr>
        <w:ind w:left="720"/>
        <w:rPr>
          <w:rFonts w:cstheme="minorHAnsi"/>
          <w:noProof/>
        </w:rPr>
      </w:pPr>
      <w:r w:rsidRPr="001A1D40">
        <w:rPr>
          <w:rFonts w:cstheme="minorHAnsi"/>
          <w:noProof/>
        </w:rPr>
        <w:t>Sanborn maps are another incredibly useful resource when it comes to learning more about a property. Published from the late 19</w:t>
      </w:r>
      <w:r w:rsidRPr="001A1D40">
        <w:rPr>
          <w:rFonts w:cstheme="minorHAnsi"/>
          <w:noProof/>
          <w:vertAlign w:val="superscript"/>
        </w:rPr>
        <w:t>th</w:t>
      </w:r>
      <w:r w:rsidRPr="001A1D40">
        <w:rPr>
          <w:rFonts w:cstheme="minorHAnsi"/>
          <w:noProof/>
        </w:rPr>
        <w:t xml:space="preserve"> century to the early 20</w:t>
      </w:r>
      <w:r w:rsidRPr="001A1D40">
        <w:rPr>
          <w:rFonts w:cstheme="minorHAnsi"/>
          <w:noProof/>
          <w:vertAlign w:val="superscript"/>
        </w:rPr>
        <w:t>th</w:t>
      </w:r>
      <w:r w:rsidRPr="001A1D40">
        <w:rPr>
          <w:rFonts w:cstheme="minorHAnsi"/>
          <w:noProof/>
        </w:rPr>
        <w:t xml:space="preserve"> century, these maps help reveal development patterns and building evolution. </w:t>
      </w:r>
    </w:p>
    <w:p w14:paraId="09145697" w14:textId="1F8F4266" w:rsidR="009E6A98" w:rsidRPr="001A1D40" w:rsidRDefault="00D31894" w:rsidP="009E6A98">
      <w:pPr>
        <w:pStyle w:val="ListParagraph"/>
        <w:numPr>
          <w:ilvl w:val="1"/>
          <w:numId w:val="1"/>
        </w:numPr>
        <w:rPr>
          <w:rFonts w:ascii="Garamond" w:hAnsi="Garamond" w:cstheme="minorHAnsi"/>
          <w:noProof/>
        </w:rPr>
      </w:pPr>
      <w:hyperlink r:id="rId15" w:history="1">
        <w:r w:rsidR="00821A6C" w:rsidRPr="001A1D40">
          <w:rPr>
            <w:rStyle w:val="Hyperlink"/>
            <w:rFonts w:ascii="Garamond" w:hAnsi="Garamond" w:cstheme="minorHAnsi"/>
          </w:rPr>
          <w:t>How to Use Sanborn Maps</w:t>
        </w:r>
      </w:hyperlink>
    </w:p>
    <w:p w14:paraId="6C4AA0CA" w14:textId="0E1C765F" w:rsidR="009E6A98" w:rsidRPr="001A1D40" w:rsidRDefault="00D31894" w:rsidP="009E6A98">
      <w:pPr>
        <w:pStyle w:val="ListParagraph"/>
        <w:numPr>
          <w:ilvl w:val="1"/>
          <w:numId w:val="1"/>
        </w:numPr>
        <w:rPr>
          <w:rStyle w:val="Hyperlink"/>
          <w:rFonts w:ascii="Garamond" w:hAnsi="Garamond" w:cstheme="minorHAnsi"/>
          <w:noProof/>
        </w:rPr>
      </w:pPr>
      <w:hyperlink r:id="rId16" w:history="1">
        <w:r w:rsidR="00821A6C" w:rsidRPr="001A1D40">
          <w:rPr>
            <w:rStyle w:val="Hyperlink"/>
            <w:rFonts w:ascii="Garamond" w:hAnsi="Garamond" w:cstheme="minorHAnsi"/>
            <w:noProof/>
          </w:rPr>
          <w:t>Library of Congress, Sanborn Maps Collection</w:t>
        </w:r>
      </w:hyperlink>
    </w:p>
    <w:p w14:paraId="06075F98" w14:textId="024555AA" w:rsidR="009E6A98" w:rsidRPr="001A1D40" w:rsidRDefault="00D31894" w:rsidP="009E6A98">
      <w:pPr>
        <w:pStyle w:val="ListParagraph"/>
        <w:numPr>
          <w:ilvl w:val="1"/>
          <w:numId w:val="1"/>
        </w:numPr>
        <w:rPr>
          <w:rFonts w:ascii="Garamond" w:hAnsi="Garamond" w:cstheme="minorHAnsi"/>
          <w:noProof/>
        </w:rPr>
      </w:pPr>
      <w:hyperlink r:id="rId17" w:history="1">
        <w:r w:rsidR="009E6A98" w:rsidRPr="001A1D40">
          <w:rPr>
            <w:rStyle w:val="Hyperlink"/>
            <w:rFonts w:ascii="Garamond" w:hAnsi="Garamond" w:cstheme="minorHAnsi"/>
            <w:noProof/>
          </w:rPr>
          <w:t>Map abbreviations</w:t>
        </w:r>
        <w:r w:rsidR="002F780F" w:rsidRPr="001A1D40">
          <w:rPr>
            <w:rStyle w:val="Hyperlink"/>
            <w:rFonts w:ascii="Garamond" w:hAnsi="Garamond" w:cstheme="minorHAnsi"/>
            <w:noProof/>
          </w:rPr>
          <w:t>,</w:t>
        </w:r>
        <w:r w:rsidR="009E6A98" w:rsidRPr="001A1D40">
          <w:rPr>
            <w:rStyle w:val="Hyperlink"/>
            <w:rFonts w:ascii="Garamond" w:hAnsi="Garamond" w:cstheme="minorHAnsi"/>
            <w:noProof/>
          </w:rPr>
          <w:t xml:space="preserve"> MIT</w:t>
        </w:r>
      </w:hyperlink>
      <w:r w:rsidR="009E6A98" w:rsidRPr="001A1D40">
        <w:rPr>
          <w:rFonts w:ascii="Garamond" w:hAnsi="Garamond" w:cstheme="minorHAnsi"/>
          <w:noProof/>
        </w:rPr>
        <w:t xml:space="preserve"> </w:t>
      </w:r>
    </w:p>
    <w:p w14:paraId="1C295AA3" w14:textId="77777777" w:rsidR="009E6A98" w:rsidRPr="001A1D40" w:rsidRDefault="009E6A98" w:rsidP="009E6A98">
      <w:pPr>
        <w:ind w:firstLine="720"/>
        <w:rPr>
          <w:rFonts w:cstheme="minorHAnsi"/>
          <w:noProof/>
        </w:rPr>
      </w:pPr>
    </w:p>
    <w:p w14:paraId="4A8ED644" w14:textId="6966465C" w:rsidR="009E6A98" w:rsidRPr="001A1D40" w:rsidRDefault="009E6A98" w:rsidP="009E6A98">
      <w:pPr>
        <w:rPr>
          <w:rFonts w:cstheme="minorHAnsi"/>
          <w:noProof/>
        </w:rPr>
      </w:pPr>
      <w:r w:rsidRPr="001A1D40">
        <w:rPr>
          <w:rFonts w:cstheme="minorHAnsi"/>
          <w:noProof/>
        </w:rPr>
        <w:t>Historic Resource</w:t>
      </w:r>
      <w:r w:rsidR="006241D0" w:rsidRPr="001A1D40">
        <w:rPr>
          <w:rFonts w:cstheme="minorHAnsi"/>
          <w:noProof/>
        </w:rPr>
        <w:t>s</w:t>
      </w:r>
      <w:r w:rsidRPr="001A1D40">
        <w:rPr>
          <w:rFonts w:cstheme="minorHAnsi"/>
          <w:noProof/>
        </w:rPr>
        <w:t xml:space="preserve"> Survey</w:t>
      </w:r>
      <w:r w:rsidR="006241D0" w:rsidRPr="001A1D40">
        <w:rPr>
          <w:rFonts w:cstheme="minorHAnsi"/>
          <w:noProof/>
        </w:rPr>
        <w:t>s</w:t>
      </w:r>
      <w:r w:rsidRPr="001A1D40">
        <w:rPr>
          <w:rFonts w:cstheme="minorHAnsi"/>
          <w:noProof/>
        </w:rPr>
        <w:t xml:space="preserve"> &amp; Inventories </w:t>
      </w:r>
    </w:p>
    <w:p w14:paraId="4755BF0E" w14:textId="77777777" w:rsidR="009E6A98" w:rsidRPr="001A1D40" w:rsidRDefault="009E6A98" w:rsidP="009E6A98">
      <w:pPr>
        <w:rPr>
          <w:rFonts w:cstheme="minorHAnsi"/>
          <w:noProof/>
        </w:rPr>
      </w:pPr>
    </w:p>
    <w:p w14:paraId="3F4D88FF" w14:textId="77777777" w:rsidR="006241D0" w:rsidRPr="001A1D40" w:rsidRDefault="009E6A98" w:rsidP="009E6A98">
      <w:pPr>
        <w:ind w:left="720"/>
        <w:rPr>
          <w:rFonts w:cstheme="minorHAnsi"/>
          <w:noProof/>
        </w:rPr>
      </w:pPr>
      <w:r w:rsidRPr="001A1D40">
        <w:rPr>
          <w:rFonts w:cstheme="minorHAnsi"/>
          <w:noProof/>
        </w:rPr>
        <w:t>What exactly is a historic resources survey and how does it differ from an inventory? This is a question we receive often and one that is important to answer because they serve two different functions. To make this easier, both an inventory and a historic resources survey have been defined in the CLG Handbook</w:t>
      </w:r>
      <w:r w:rsidR="006241D0" w:rsidRPr="001A1D40">
        <w:rPr>
          <w:rFonts w:cstheme="minorHAnsi"/>
          <w:noProof/>
        </w:rPr>
        <w:t>.</w:t>
      </w:r>
    </w:p>
    <w:p w14:paraId="64BEC132" w14:textId="0F3354EC" w:rsidR="009E6A98" w:rsidRPr="001A1D40" w:rsidRDefault="009E6A98" w:rsidP="009E6A98">
      <w:pPr>
        <w:ind w:left="720"/>
        <w:rPr>
          <w:rFonts w:cstheme="minorHAnsi"/>
          <w:noProof/>
        </w:rPr>
      </w:pPr>
      <w:r w:rsidRPr="001A1D40">
        <w:rPr>
          <w:rFonts w:cstheme="minorHAnsi"/>
          <w:noProof/>
        </w:rPr>
        <w:t xml:space="preserve"> </w:t>
      </w:r>
    </w:p>
    <w:p w14:paraId="05069AD9" w14:textId="3F8F5553" w:rsidR="009E6A98" w:rsidRPr="001A1D40" w:rsidRDefault="009E6A98" w:rsidP="009E6A98">
      <w:pPr>
        <w:ind w:left="720"/>
        <w:rPr>
          <w:rFonts w:cstheme="minorHAnsi"/>
          <w:b/>
          <w:noProof/>
        </w:rPr>
      </w:pPr>
      <w:r w:rsidRPr="001A1D40">
        <w:rPr>
          <w:rFonts w:cstheme="minorHAnsi"/>
          <w:b/>
          <w:noProof/>
        </w:rPr>
        <w:t>Inventory:</w:t>
      </w:r>
      <w:r w:rsidRPr="001A1D40">
        <w:rPr>
          <w:rFonts w:cstheme="minorHAnsi"/>
          <w:noProof/>
        </w:rPr>
        <w:t xml:space="preserve"> is an organized list of historic resources that is regularly updated as changes occur. An inventory typically includes a photograph, current and historic name, address and geographic location, property type, date of construction, architect (if known), current and historic use, current historical designations, eligibility and contributing status, and priority level for each resource.</w:t>
      </w:r>
    </w:p>
    <w:p w14:paraId="696F17B9" w14:textId="77777777" w:rsidR="009E6A98" w:rsidRPr="001A1D40" w:rsidRDefault="009E6A98" w:rsidP="009E6A98">
      <w:pPr>
        <w:ind w:left="720"/>
        <w:rPr>
          <w:rFonts w:cstheme="minorHAnsi"/>
          <w:b/>
          <w:noProof/>
        </w:rPr>
      </w:pPr>
      <w:r w:rsidRPr="001A1D40">
        <w:rPr>
          <w:rFonts w:cstheme="minorHAnsi"/>
          <w:b/>
          <w:noProof/>
        </w:rPr>
        <w:t xml:space="preserve">Historic Resources Survey: </w:t>
      </w:r>
      <w:r w:rsidRPr="001A1D40">
        <w:rPr>
          <w:rFonts w:cstheme="minorHAnsi"/>
          <w:noProof/>
        </w:rPr>
        <w:t>A systematic method of documenting historic resources through fieldwork and historic research. A survey includes the same information as an Inventory with additional documentation of a written physical description, historical background, photographs, maps, and historical recommendations on a form for each resource. The THC recommends that the survey be updated approximately every ten years.</w:t>
      </w:r>
      <w:r w:rsidRPr="001A1D40">
        <w:rPr>
          <w:rFonts w:cstheme="minorHAnsi"/>
          <w:b/>
          <w:noProof/>
        </w:rPr>
        <w:t xml:space="preserve"> </w:t>
      </w:r>
    </w:p>
    <w:p w14:paraId="5B8FAAA0" w14:textId="77777777" w:rsidR="00D31894" w:rsidRDefault="00D31894" w:rsidP="009E6A98">
      <w:pPr>
        <w:autoSpaceDE w:val="0"/>
        <w:autoSpaceDN w:val="0"/>
        <w:adjustRightInd w:val="0"/>
        <w:ind w:left="720"/>
        <w:rPr>
          <w:rFonts w:cstheme="minorHAnsi"/>
        </w:rPr>
      </w:pPr>
    </w:p>
    <w:p w14:paraId="65EE0A71" w14:textId="0959F81A" w:rsidR="009E6A98" w:rsidRPr="001A1D40" w:rsidRDefault="009E6A98" w:rsidP="009E6A98">
      <w:pPr>
        <w:autoSpaceDE w:val="0"/>
        <w:autoSpaceDN w:val="0"/>
        <w:adjustRightInd w:val="0"/>
        <w:ind w:left="720"/>
        <w:rPr>
          <w:rFonts w:cstheme="minorHAnsi"/>
        </w:rPr>
      </w:pPr>
      <w:r w:rsidRPr="001A1D40">
        <w:rPr>
          <w:rFonts w:cstheme="minorHAnsi"/>
        </w:rPr>
        <w:lastRenderedPageBreak/>
        <w:t>Blow are some helpful resources for Historic Resource Surveys:</w:t>
      </w:r>
    </w:p>
    <w:p w14:paraId="78138303" w14:textId="67CD5EAE" w:rsidR="009E6A98" w:rsidRPr="001A1D40" w:rsidRDefault="00D31894" w:rsidP="009E6A98">
      <w:pPr>
        <w:pStyle w:val="ListParagraph"/>
        <w:numPr>
          <w:ilvl w:val="0"/>
          <w:numId w:val="2"/>
        </w:numPr>
        <w:autoSpaceDE w:val="0"/>
        <w:autoSpaceDN w:val="0"/>
        <w:adjustRightInd w:val="0"/>
        <w:spacing w:after="0" w:line="240" w:lineRule="auto"/>
        <w:rPr>
          <w:rStyle w:val="Hyperlink"/>
          <w:rFonts w:ascii="Garamond" w:hAnsi="Garamond" w:cstheme="minorHAnsi"/>
          <w:sz w:val="24"/>
          <w:szCs w:val="24"/>
        </w:rPr>
      </w:pPr>
      <w:hyperlink r:id="rId18" w:history="1">
        <w:r w:rsidR="009E6A98" w:rsidRPr="001A1D40">
          <w:rPr>
            <w:rStyle w:val="Hyperlink"/>
            <w:rFonts w:ascii="Garamond" w:hAnsi="Garamond" w:cstheme="minorHAnsi"/>
            <w:noProof/>
          </w:rPr>
          <w:t>THC Historic Resources Survey Manual</w:t>
        </w:r>
      </w:hyperlink>
      <w:r w:rsidR="009E6A98" w:rsidRPr="001A1D40">
        <w:rPr>
          <w:rStyle w:val="Hyperlink"/>
          <w:rFonts w:ascii="Garamond" w:hAnsi="Garamond" w:cstheme="minorHAnsi"/>
          <w:noProof/>
        </w:rPr>
        <w:t xml:space="preserve"> </w:t>
      </w:r>
    </w:p>
    <w:p w14:paraId="1F9614DC" w14:textId="0967C9CA" w:rsidR="009E6A98" w:rsidRPr="001A1D40" w:rsidRDefault="00D31894" w:rsidP="009E6A98">
      <w:pPr>
        <w:pStyle w:val="ListParagraph"/>
        <w:numPr>
          <w:ilvl w:val="0"/>
          <w:numId w:val="2"/>
        </w:numPr>
        <w:autoSpaceDE w:val="0"/>
        <w:autoSpaceDN w:val="0"/>
        <w:adjustRightInd w:val="0"/>
        <w:spacing w:after="0" w:line="240" w:lineRule="auto"/>
        <w:rPr>
          <w:rStyle w:val="Hyperlink"/>
          <w:rFonts w:ascii="Garamond" w:hAnsi="Garamond" w:cstheme="minorHAnsi"/>
          <w:sz w:val="24"/>
          <w:szCs w:val="24"/>
        </w:rPr>
      </w:pPr>
      <w:hyperlink r:id="rId19" w:history="1">
        <w:r w:rsidR="009E6A98" w:rsidRPr="001A1D40">
          <w:rPr>
            <w:rStyle w:val="Hyperlink"/>
            <w:rFonts w:ascii="Garamond" w:hAnsi="Garamond" w:cstheme="minorHAnsi"/>
            <w:noProof/>
          </w:rPr>
          <w:t>THC Useful Survey Tools</w:t>
        </w:r>
      </w:hyperlink>
      <w:r w:rsidR="009E6A98" w:rsidRPr="001A1D40">
        <w:rPr>
          <w:rFonts w:ascii="Garamond" w:hAnsi="Garamond" w:cstheme="minorHAnsi"/>
          <w:noProof/>
        </w:rPr>
        <w:t xml:space="preserve"> </w:t>
      </w:r>
    </w:p>
    <w:p w14:paraId="5BAAFEAE" w14:textId="77777777" w:rsidR="009E6A98" w:rsidRPr="001A1D40" w:rsidRDefault="009E6A98" w:rsidP="009E6A98">
      <w:pPr>
        <w:ind w:left="720"/>
        <w:rPr>
          <w:rFonts w:cstheme="minorHAnsi"/>
          <w:noProof/>
        </w:rPr>
      </w:pPr>
    </w:p>
    <w:p w14:paraId="777C566B" w14:textId="77777777" w:rsidR="009E6A98" w:rsidRPr="001A1D40" w:rsidRDefault="009E6A98" w:rsidP="009E6A98">
      <w:pPr>
        <w:rPr>
          <w:rFonts w:cstheme="minorHAnsi"/>
          <w:noProof/>
        </w:rPr>
      </w:pPr>
      <w:r w:rsidRPr="001A1D40">
        <w:rPr>
          <w:rFonts w:cstheme="minorHAnsi"/>
          <w:noProof/>
        </w:rPr>
        <w:t xml:space="preserve">Oral History </w:t>
      </w:r>
    </w:p>
    <w:p w14:paraId="06831E85" w14:textId="77777777" w:rsidR="009E6A98" w:rsidRPr="001A1D40" w:rsidRDefault="009E6A98" w:rsidP="009E6A98">
      <w:pPr>
        <w:rPr>
          <w:rFonts w:cstheme="minorHAnsi"/>
          <w:noProof/>
        </w:rPr>
      </w:pPr>
    </w:p>
    <w:p w14:paraId="49F95358" w14:textId="2B167FF9" w:rsidR="009E6A98" w:rsidRPr="001A1D40" w:rsidRDefault="009E6A98" w:rsidP="009E6A98">
      <w:pPr>
        <w:ind w:left="720"/>
        <w:rPr>
          <w:rFonts w:cstheme="minorHAnsi"/>
          <w:noProof/>
        </w:rPr>
      </w:pPr>
      <w:r w:rsidRPr="001A1D40">
        <w:rPr>
          <w:rFonts w:cstheme="minorHAnsi"/>
          <w:noProof/>
        </w:rPr>
        <w:t>Oral History is the collectio</w:t>
      </w:r>
      <w:r w:rsidR="006B22B3" w:rsidRPr="001A1D40">
        <w:rPr>
          <w:rFonts w:cstheme="minorHAnsi"/>
          <w:noProof/>
        </w:rPr>
        <w:t>n</w:t>
      </w:r>
      <w:r w:rsidRPr="001A1D40">
        <w:rPr>
          <w:rFonts w:cstheme="minorHAnsi"/>
          <w:noProof/>
        </w:rPr>
        <w:t xml:space="preserve"> and recording of personal memoirs as h</w:t>
      </w:r>
      <w:r w:rsidR="006B22B3" w:rsidRPr="001A1D40">
        <w:rPr>
          <w:rFonts w:cstheme="minorHAnsi"/>
          <w:noProof/>
        </w:rPr>
        <w:t>i</w:t>
      </w:r>
      <w:r w:rsidRPr="001A1D40">
        <w:rPr>
          <w:rFonts w:cstheme="minorHAnsi"/>
          <w:noProof/>
        </w:rPr>
        <w:t xml:space="preserve">storical documentation and are an important </w:t>
      </w:r>
      <w:r w:rsidR="006B22B3" w:rsidRPr="001A1D40">
        <w:rPr>
          <w:rFonts w:cstheme="minorHAnsi"/>
          <w:noProof/>
        </w:rPr>
        <w:t xml:space="preserve">primary </w:t>
      </w:r>
      <w:r w:rsidRPr="001A1D40">
        <w:rPr>
          <w:rFonts w:cstheme="minorHAnsi"/>
          <w:noProof/>
        </w:rPr>
        <w:t>resource</w:t>
      </w:r>
      <w:r w:rsidR="006B22B3" w:rsidRPr="001A1D40">
        <w:rPr>
          <w:rFonts w:cstheme="minorHAnsi"/>
          <w:noProof/>
        </w:rPr>
        <w:t xml:space="preserve">. </w:t>
      </w:r>
    </w:p>
    <w:p w14:paraId="5D7AFF5F" w14:textId="748EB47E" w:rsidR="009E6A98" w:rsidRPr="001A1D40" w:rsidRDefault="00D31894" w:rsidP="009E6A98">
      <w:pPr>
        <w:pStyle w:val="ListParagraph"/>
        <w:numPr>
          <w:ilvl w:val="0"/>
          <w:numId w:val="3"/>
        </w:numPr>
        <w:rPr>
          <w:rFonts w:ascii="Garamond" w:hAnsi="Garamond" w:cstheme="minorHAnsi"/>
          <w:noProof/>
        </w:rPr>
      </w:pPr>
      <w:hyperlink r:id="rId20" w:history="1">
        <w:r w:rsidR="009E6A98" w:rsidRPr="001A1D40">
          <w:rPr>
            <w:rStyle w:val="Hyperlink"/>
            <w:rFonts w:ascii="Garamond" w:hAnsi="Garamond" w:cstheme="minorHAnsi"/>
            <w:noProof/>
          </w:rPr>
          <w:t xml:space="preserve">THC </w:t>
        </w:r>
        <w:r w:rsidR="006B22B3" w:rsidRPr="001A1D40">
          <w:rPr>
            <w:rStyle w:val="Hyperlink"/>
            <w:rFonts w:ascii="Garamond" w:hAnsi="Garamond" w:cstheme="minorHAnsi"/>
            <w:noProof/>
          </w:rPr>
          <w:t xml:space="preserve">How to Use </w:t>
        </w:r>
        <w:r w:rsidR="009E6A98" w:rsidRPr="001A1D40">
          <w:rPr>
            <w:rStyle w:val="Hyperlink"/>
            <w:rFonts w:ascii="Garamond" w:hAnsi="Garamond" w:cstheme="minorHAnsi"/>
            <w:noProof/>
          </w:rPr>
          <w:t>Oral History</w:t>
        </w:r>
      </w:hyperlink>
      <w:r w:rsidR="009E6A98" w:rsidRPr="001A1D40">
        <w:rPr>
          <w:rStyle w:val="Hyperlink"/>
          <w:rFonts w:ascii="Garamond" w:hAnsi="Garamond" w:cstheme="minorHAnsi"/>
          <w:noProof/>
        </w:rPr>
        <w:t xml:space="preserve"> </w:t>
      </w:r>
    </w:p>
    <w:p w14:paraId="62A434AF" w14:textId="24AEDC0A" w:rsidR="009E6A98" w:rsidRPr="001A1D40" w:rsidRDefault="00D31894" w:rsidP="009E6A98">
      <w:pPr>
        <w:pStyle w:val="ListParagraph"/>
        <w:numPr>
          <w:ilvl w:val="0"/>
          <w:numId w:val="3"/>
        </w:numPr>
        <w:rPr>
          <w:rStyle w:val="Hyperlink"/>
          <w:rFonts w:ascii="Garamond" w:hAnsi="Garamond" w:cstheme="minorHAnsi"/>
          <w:noProof/>
          <w:color w:val="auto"/>
          <w:u w:val="none"/>
        </w:rPr>
      </w:pPr>
      <w:hyperlink r:id="rId21" w:history="1">
        <w:r w:rsidR="009E6A98" w:rsidRPr="001A1D40">
          <w:rPr>
            <w:rStyle w:val="Hyperlink"/>
            <w:rFonts w:ascii="Garamond" w:hAnsi="Garamond" w:cstheme="minorHAnsi"/>
            <w:noProof/>
          </w:rPr>
          <w:t>THC Oral History Fundamentals</w:t>
        </w:r>
      </w:hyperlink>
    </w:p>
    <w:p w14:paraId="1CDCF2B8" w14:textId="6B643A8A" w:rsidR="009E6A98" w:rsidRPr="001A1D40" w:rsidRDefault="00D31894" w:rsidP="009E6A98">
      <w:pPr>
        <w:pStyle w:val="ListParagraph"/>
        <w:numPr>
          <w:ilvl w:val="0"/>
          <w:numId w:val="3"/>
        </w:numPr>
        <w:rPr>
          <w:rFonts w:ascii="Garamond" w:hAnsi="Garamond" w:cstheme="minorHAnsi"/>
          <w:noProof/>
        </w:rPr>
      </w:pPr>
      <w:hyperlink r:id="rId22" w:history="1">
        <w:r w:rsidR="009E6A98" w:rsidRPr="001A1D40">
          <w:rPr>
            <w:rStyle w:val="Hyperlink"/>
            <w:rFonts w:ascii="Garamond" w:hAnsi="Garamond" w:cstheme="minorHAnsi"/>
          </w:rPr>
          <w:t>Oral History Association, Principles and Best Practices</w:t>
        </w:r>
      </w:hyperlink>
      <w:r w:rsidR="009E6A98" w:rsidRPr="001A1D40">
        <w:rPr>
          <w:rFonts w:ascii="Garamond" w:hAnsi="Garamond" w:cstheme="minorHAnsi"/>
        </w:rPr>
        <w:t xml:space="preserve"> </w:t>
      </w:r>
    </w:p>
    <w:p w14:paraId="5D2A6C6F" w14:textId="6D25F5DD" w:rsidR="009E6A98" w:rsidRPr="001A1D40" w:rsidRDefault="00D31894" w:rsidP="009E6A98">
      <w:pPr>
        <w:pStyle w:val="ListParagraph"/>
        <w:numPr>
          <w:ilvl w:val="0"/>
          <w:numId w:val="3"/>
        </w:numPr>
        <w:rPr>
          <w:rFonts w:ascii="Garamond" w:hAnsi="Garamond" w:cstheme="minorHAnsi"/>
          <w:noProof/>
        </w:rPr>
      </w:pPr>
      <w:hyperlink r:id="rId23" w:history="1">
        <w:r w:rsidR="009E6A98" w:rsidRPr="001A1D40">
          <w:rPr>
            <w:rStyle w:val="Hyperlink"/>
            <w:rFonts w:ascii="Garamond" w:hAnsi="Garamond" w:cstheme="minorHAnsi"/>
            <w:noProof/>
          </w:rPr>
          <w:t>NPS Oral History resources</w:t>
        </w:r>
      </w:hyperlink>
      <w:r w:rsidR="009E6A98" w:rsidRPr="001A1D40">
        <w:rPr>
          <w:rFonts w:ascii="Garamond" w:hAnsi="Garamond" w:cstheme="minorHAnsi"/>
          <w:noProof/>
        </w:rPr>
        <w:t xml:space="preserve"> </w:t>
      </w:r>
    </w:p>
    <w:p w14:paraId="78541715" w14:textId="507A64D4" w:rsidR="009E6A98" w:rsidRPr="001A1D40" w:rsidRDefault="00D31894" w:rsidP="009E6A98">
      <w:pPr>
        <w:pStyle w:val="ListParagraph"/>
        <w:numPr>
          <w:ilvl w:val="0"/>
          <w:numId w:val="3"/>
        </w:numPr>
        <w:rPr>
          <w:rFonts w:ascii="Garamond" w:hAnsi="Garamond" w:cstheme="minorHAnsi"/>
          <w:noProof/>
        </w:rPr>
      </w:pPr>
      <w:hyperlink r:id="rId24" w:history="1">
        <w:r w:rsidR="009E6A98" w:rsidRPr="001A1D40">
          <w:rPr>
            <w:rStyle w:val="Hyperlink"/>
            <w:rFonts w:ascii="Garamond" w:hAnsi="Garamond" w:cstheme="minorHAnsi"/>
          </w:rPr>
          <w:t>Baylor Institute for Oral History</w:t>
        </w:r>
      </w:hyperlink>
    </w:p>
    <w:p w14:paraId="40E30CCF" w14:textId="459B54DC" w:rsidR="00742AC4" w:rsidRDefault="007236E2" w:rsidP="009E6A98">
      <w:r w:rsidRPr="00742AC4">
        <w:t xml:space="preserve"> </w:t>
      </w:r>
    </w:p>
    <w:p w14:paraId="616F2964" w14:textId="77777777" w:rsidR="00D41677" w:rsidRDefault="00D41677" w:rsidP="00742AC4"/>
    <w:p w14:paraId="0093CEBA" w14:textId="77777777" w:rsidR="00D41677" w:rsidRPr="00742AC4" w:rsidRDefault="00D41677" w:rsidP="00742AC4"/>
    <w:sectPr w:rsidR="00D41677" w:rsidRPr="00742AC4" w:rsidSect="004D2564">
      <w:footerReference w:type="even" r:id="rId25"/>
      <w:footerReference w:type="default" r:id="rId26"/>
      <w:headerReference w:type="first" r:id="rId27"/>
      <w:footerReference w:type="first" r:id="rId28"/>
      <w:pgSz w:w="12240" w:h="15840"/>
      <w:pgMar w:top="1080" w:right="1080" w:bottom="1080" w:left="1080" w:header="108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CD151" w14:textId="77777777" w:rsidR="006B22B3" w:rsidRDefault="006B22B3" w:rsidP="00742AC4">
      <w:r>
        <w:separator/>
      </w:r>
    </w:p>
  </w:endnote>
  <w:endnote w:type="continuationSeparator" w:id="0">
    <w:p w14:paraId="49F99076" w14:textId="77777777" w:rsidR="006B22B3" w:rsidRDefault="006B22B3" w:rsidP="0074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D4A55" w14:textId="77777777" w:rsidR="006B22B3" w:rsidRDefault="006B22B3">
    <w:pPr>
      <w:pStyle w:val="Footer"/>
    </w:pPr>
    <w:r>
      <w:rPr>
        <w:noProof/>
      </w:rPr>
      <w:drawing>
        <wp:inline distT="0" distB="0" distL="0" distR="0" wp14:anchorId="1C924B4B" wp14:editId="335F4F7E">
          <wp:extent cx="6400800" cy="21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C_Letterhead_Footer-03.png"/>
                  <pic:cNvPicPr/>
                </pic:nvPicPr>
                <pic:blipFill>
                  <a:blip r:embed="rId1">
                    <a:extLst>
                      <a:ext uri="{28A0092B-C50C-407E-A947-70E740481C1C}">
                        <a14:useLocalDpi xmlns:a14="http://schemas.microsoft.com/office/drawing/2010/main" val="0"/>
                      </a:ext>
                    </a:extLst>
                  </a:blip>
                  <a:stretch>
                    <a:fillRect/>
                  </a:stretch>
                </pic:blipFill>
                <pic:spPr>
                  <a:xfrm>
                    <a:off x="0" y="0"/>
                    <a:ext cx="6400800" cy="2159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AADB8" w14:textId="77777777" w:rsidR="006B22B3" w:rsidRDefault="006B22B3">
    <w:pPr>
      <w:pStyle w:val="Footer"/>
    </w:pPr>
    <w:r>
      <w:rPr>
        <w:noProof/>
      </w:rPr>
      <w:drawing>
        <wp:inline distT="0" distB="0" distL="0" distR="0" wp14:anchorId="6A79670B" wp14:editId="4E72FBC5">
          <wp:extent cx="64008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C_Letterhead_Footer-03.png"/>
                  <pic:cNvPicPr/>
                </pic:nvPicPr>
                <pic:blipFill>
                  <a:blip r:embed="rId1">
                    <a:extLst>
                      <a:ext uri="{28A0092B-C50C-407E-A947-70E740481C1C}">
                        <a14:useLocalDpi xmlns:a14="http://schemas.microsoft.com/office/drawing/2010/main" val="0"/>
                      </a:ext>
                    </a:extLst>
                  </a:blip>
                  <a:stretch>
                    <a:fillRect/>
                  </a:stretch>
                </pic:blipFill>
                <pic:spPr>
                  <a:xfrm>
                    <a:off x="0" y="0"/>
                    <a:ext cx="6400800" cy="2159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7DAD" w14:textId="77777777" w:rsidR="006B22B3" w:rsidRDefault="006B22B3" w:rsidP="00742AC4">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84BD3" w14:textId="77777777" w:rsidR="006B22B3" w:rsidRDefault="006B22B3" w:rsidP="00742AC4">
      <w:r>
        <w:separator/>
      </w:r>
    </w:p>
  </w:footnote>
  <w:footnote w:type="continuationSeparator" w:id="0">
    <w:p w14:paraId="3E254FAB" w14:textId="77777777" w:rsidR="006B22B3" w:rsidRDefault="006B22B3" w:rsidP="00742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EAC3B" w14:textId="77777777" w:rsidR="006B22B3" w:rsidRDefault="006B22B3" w:rsidP="00742AC4">
    <w:pPr>
      <w:pStyle w:val="Header"/>
    </w:pPr>
    <w:r>
      <w:rPr>
        <w:noProof/>
      </w:rPr>
      <w:drawing>
        <wp:inline distT="0" distB="0" distL="0" distR="0" wp14:anchorId="2C318830" wp14:editId="03426831">
          <wp:extent cx="2184400" cy="723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C_Document_Header-05.png"/>
                  <pic:cNvPicPr/>
                </pic:nvPicPr>
                <pic:blipFill>
                  <a:blip r:embed="rId1">
                    <a:extLst>
                      <a:ext uri="{28A0092B-C50C-407E-A947-70E740481C1C}">
                        <a14:useLocalDpi xmlns:a14="http://schemas.microsoft.com/office/drawing/2010/main" val="0"/>
                      </a:ext>
                    </a:extLst>
                  </a:blip>
                  <a:stretch>
                    <a:fillRect/>
                  </a:stretch>
                </pic:blipFill>
                <pic:spPr>
                  <a:xfrm>
                    <a:off x="0" y="0"/>
                    <a:ext cx="2184400" cy="723900"/>
                  </a:xfrm>
                  <a:prstGeom prst="rect">
                    <a:avLst/>
                  </a:prstGeom>
                </pic:spPr>
              </pic:pic>
            </a:graphicData>
          </a:graphic>
        </wp:inline>
      </w:drawing>
    </w:r>
  </w:p>
  <w:p w14:paraId="1A4200D8" w14:textId="77777777" w:rsidR="006B22B3" w:rsidRDefault="006B22B3" w:rsidP="00742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F4829"/>
    <w:multiLevelType w:val="hybridMultilevel"/>
    <w:tmpl w:val="997A7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552122"/>
    <w:multiLevelType w:val="hybridMultilevel"/>
    <w:tmpl w:val="AFEEDA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BC93A77"/>
    <w:multiLevelType w:val="hybridMultilevel"/>
    <w:tmpl w:val="CC64A1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F98"/>
    <w:rsid w:val="000B24D7"/>
    <w:rsid w:val="000F1159"/>
    <w:rsid w:val="001A1D40"/>
    <w:rsid w:val="002F780F"/>
    <w:rsid w:val="003A0485"/>
    <w:rsid w:val="003A5C1C"/>
    <w:rsid w:val="003C5855"/>
    <w:rsid w:val="003D6978"/>
    <w:rsid w:val="00491AE9"/>
    <w:rsid w:val="004B12F9"/>
    <w:rsid w:val="004D2564"/>
    <w:rsid w:val="00507942"/>
    <w:rsid w:val="00545D81"/>
    <w:rsid w:val="005C5F6B"/>
    <w:rsid w:val="00600355"/>
    <w:rsid w:val="00604EC5"/>
    <w:rsid w:val="006241D0"/>
    <w:rsid w:val="00652F98"/>
    <w:rsid w:val="006B22B3"/>
    <w:rsid w:val="007236E2"/>
    <w:rsid w:val="00742AC4"/>
    <w:rsid w:val="008116E4"/>
    <w:rsid w:val="00821A6C"/>
    <w:rsid w:val="009212CA"/>
    <w:rsid w:val="009E6A98"/>
    <w:rsid w:val="00A4548C"/>
    <w:rsid w:val="00AE780D"/>
    <w:rsid w:val="00B810D1"/>
    <w:rsid w:val="00BE6B44"/>
    <w:rsid w:val="00C4253A"/>
    <w:rsid w:val="00C50D6A"/>
    <w:rsid w:val="00C96EC3"/>
    <w:rsid w:val="00CC37FE"/>
    <w:rsid w:val="00D31894"/>
    <w:rsid w:val="00D41677"/>
    <w:rsid w:val="00D64D37"/>
    <w:rsid w:val="00F23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621192"/>
  <w15:chartTrackingRefBased/>
  <w15:docId w15:val="{DBE084F2-2041-CC4B-AAB6-50959B498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AC4"/>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942"/>
    <w:pPr>
      <w:tabs>
        <w:tab w:val="center" w:pos="4680"/>
        <w:tab w:val="right" w:pos="9360"/>
      </w:tabs>
    </w:pPr>
  </w:style>
  <w:style w:type="character" w:customStyle="1" w:styleId="HeaderChar">
    <w:name w:val="Header Char"/>
    <w:basedOn w:val="DefaultParagraphFont"/>
    <w:link w:val="Header"/>
    <w:uiPriority w:val="99"/>
    <w:rsid w:val="00507942"/>
  </w:style>
  <w:style w:type="paragraph" w:styleId="Footer">
    <w:name w:val="footer"/>
    <w:basedOn w:val="Normal"/>
    <w:link w:val="FooterChar"/>
    <w:uiPriority w:val="99"/>
    <w:unhideWhenUsed/>
    <w:rsid w:val="00507942"/>
    <w:pPr>
      <w:tabs>
        <w:tab w:val="center" w:pos="4680"/>
        <w:tab w:val="right" w:pos="9360"/>
      </w:tabs>
    </w:pPr>
  </w:style>
  <w:style w:type="character" w:customStyle="1" w:styleId="FooterChar">
    <w:name w:val="Footer Char"/>
    <w:basedOn w:val="DefaultParagraphFont"/>
    <w:link w:val="Footer"/>
    <w:uiPriority w:val="99"/>
    <w:rsid w:val="00507942"/>
  </w:style>
  <w:style w:type="character" w:styleId="Hyperlink">
    <w:name w:val="Hyperlink"/>
    <w:basedOn w:val="DefaultParagraphFont"/>
    <w:uiPriority w:val="99"/>
    <w:unhideWhenUsed/>
    <w:rsid w:val="009E6A98"/>
    <w:rPr>
      <w:color w:val="0563C1"/>
      <w:u w:val="single"/>
    </w:rPr>
  </w:style>
  <w:style w:type="paragraph" w:styleId="ListParagraph">
    <w:name w:val="List Paragraph"/>
    <w:basedOn w:val="Normal"/>
    <w:uiPriority w:val="34"/>
    <w:qFormat/>
    <w:rsid w:val="009E6A98"/>
    <w:pPr>
      <w:spacing w:after="160" w:line="259" w:lineRule="auto"/>
      <w:ind w:left="720"/>
      <w:contextualSpacing/>
    </w:pPr>
    <w:rPr>
      <w:rFonts w:asciiTheme="minorHAnsi" w:hAnsiTheme="minorHAnsi"/>
      <w:sz w:val="22"/>
      <w:szCs w:val="22"/>
    </w:rPr>
  </w:style>
  <w:style w:type="character" w:styleId="UnresolvedMention">
    <w:name w:val="Unresolved Mention"/>
    <w:basedOn w:val="DefaultParagraphFont"/>
    <w:uiPriority w:val="99"/>
    <w:semiHidden/>
    <w:unhideWhenUsed/>
    <w:rsid w:val="009E6A98"/>
    <w:rPr>
      <w:color w:val="605E5C"/>
      <w:shd w:val="clear" w:color="auto" w:fill="E1DFDD"/>
    </w:rPr>
  </w:style>
  <w:style w:type="paragraph" w:styleId="BalloonText">
    <w:name w:val="Balloon Text"/>
    <w:basedOn w:val="Normal"/>
    <w:link w:val="BalloonTextChar"/>
    <w:uiPriority w:val="99"/>
    <w:semiHidden/>
    <w:unhideWhenUsed/>
    <w:rsid w:val="00BE6B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B44"/>
    <w:rPr>
      <w:rFonts w:ascii="Segoe UI" w:hAnsi="Segoe UI" w:cs="Segoe UI"/>
      <w:sz w:val="18"/>
      <w:szCs w:val="18"/>
    </w:rPr>
  </w:style>
  <w:style w:type="character" w:styleId="FollowedHyperlink">
    <w:name w:val="FollowedHyperlink"/>
    <w:basedOn w:val="DefaultParagraphFont"/>
    <w:uiPriority w:val="99"/>
    <w:semiHidden/>
    <w:unhideWhenUsed/>
    <w:rsid w:val="00BE6B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531605">
      <w:bodyDiv w:val="1"/>
      <w:marLeft w:val="0"/>
      <w:marRight w:val="0"/>
      <w:marTop w:val="0"/>
      <w:marBottom w:val="0"/>
      <w:divBdr>
        <w:top w:val="none" w:sz="0" w:space="0" w:color="auto"/>
        <w:left w:val="none" w:sz="0" w:space="0" w:color="auto"/>
        <w:bottom w:val="none" w:sz="0" w:space="0" w:color="auto"/>
        <w:right w:val="none" w:sz="0" w:space="0" w:color="auto"/>
      </w:divBdr>
    </w:div>
    <w:div w:id="58854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c.texas.gov/public/upload/publications/remembering-texas.pdf" TargetMode="External"/><Relationship Id="rId13" Type="http://schemas.openxmlformats.org/officeDocument/2006/relationships/hyperlink" Target="http://www.birdseyeviews.org/index.php" TargetMode="External"/><Relationship Id="rId18" Type="http://schemas.openxmlformats.org/officeDocument/2006/relationships/hyperlink" Target="https://www.thc.texas.gov/public/upload/preserve/survey/survey/THC%20Historic%20Resources%20Survey%20Manual%202016%2012.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thc.texas.gov/public/upload/publications/OralHistory.pdf" TargetMode="External"/><Relationship Id="rId7" Type="http://schemas.openxmlformats.org/officeDocument/2006/relationships/endnotes" Target="endnotes.xml"/><Relationship Id="rId12" Type="http://schemas.openxmlformats.org/officeDocument/2006/relationships/hyperlink" Target="http://digitalcollections.baylor.edu/cdm/landingpage/collection/tx-photos" TargetMode="External"/><Relationship Id="rId17" Type="http://schemas.openxmlformats.org/officeDocument/2006/relationships/hyperlink" Target="http://web.mit.edu/thecity/resources/abbreviations_for_sanborn_maps.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oc.gov/collections/sanborn-maps/about-this-collection/" TargetMode="External"/><Relationship Id="rId20" Type="http://schemas.openxmlformats.org/officeDocument/2006/relationships/hyperlink" Target="https://www.thc.texas.gov/public/upload/publications/Oral%20History.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xashistory.unt.edu" TargetMode="External"/><Relationship Id="rId24" Type="http://schemas.openxmlformats.org/officeDocument/2006/relationships/hyperlink" Target="https://www.baylor.edu/oralhistory/" TargetMode="External"/><Relationship Id="rId5" Type="http://schemas.openxmlformats.org/officeDocument/2006/relationships/webSettings" Target="webSettings.xml"/><Relationship Id="rId15" Type="http://schemas.openxmlformats.org/officeDocument/2006/relationships/hyperlink" Target="https://www.thc.texas.gov/public/upload/publications/Sanborn%20maps%20%28updated%20July%202018%29.docx" TargetMode="External"/><Relationship Id="rId23" Type="http://schemas.openxmlformats.org/officeDocument/2006/relationships/hyperlink" Target="https://www.nps.gov/parkhistory/oralhistory/resources.htm" TargetMode="External"/><Relationship Id="rId28" Type="http://schemas.openxmlformats.org/officeDocument/2006/relationships/footer" Target="footer3.xml"/><Relationship Id="rId10" Type="http://schemas.openxmlformats.org/officeDocument/2006/relationships/hyperlink" Target="https://www.apti.org/apt-building-technology-heritage-library" TargetMode="External"/><Relationship Id="rId19" Type="http://schemas.openxmlformats.org/officeDocument/2006/relationships/hyperlink" Target="https://www.thc.texas.gov/preserve/projects-and-programs/historic-resources-survey/useful-survey-tools" TargetMode="External"/><Relationship Id="rId4" Type="http://schemas.openxmlformats.org/officeDocument/2006/relationships/settings" Target="settings.xml"/><Relationship Id="rId9" Type="http://schemas.openxmlformats.org/officeDocument/2006/relationships/hyperlink" Target="https://www.thc.texas.gov/marker-research-guides" TargetMode="External"/><Relationship Id="rId14" Type="http://schemas.openxmlformats.org/officeDocument/2006/relationships/hyperlink" Target="https://www.tshaonline.org/handbook" TargetMode="External"/><Relationship Id="rId22" Type="http://schemas.openxmlformats.org/officeDocument/2006/relationships/hyperlink" Target="https://www.oralhistory.org/about/principles-and-practices-revised-2009/"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4D8E4-0DBF-4D3F-AB8A-6D60AFAB1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Mougridis</cp:lastModifiedBy>
  <cp:revision>12</cp:revision>
  <cp:lastPrinted>2019-11-20T14:31:00Z</cp:lastPrinted>
  <dcterms:created xsi:type="dcterms:W3CDTF">2020-07-16T16:47:00Z</dcterms:created>
  <dcterms:modified xsi:type="dcterms:W3CDTF">2020-09-29T19:09:00Z</dcterms:modified>
</cp:coreProperties>
</file>